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EA20" w14:textId="77777777" w:rsidR="00F041A4" w:rsidRDefault="00B96F51" w:rsidP="003D0BC2">
      <w:pPr>
        <w:rPr>
          <w:sz w:val="20"/>
          <w:szCs w:val="20"/>
        </w:rPr>
      </w:pPr>
      <w:r w:rsidRPr="00B96F51">
        <w:rPr>
          <w:sz w:val="20"/>
          <w:szCs w:val="20"/>
        </w:rPr>
        <w:t>COM_ORG_003_B</w:t>
      </w:r>
    </w:p>
    <w:p w14:paraId="18698540" w14:textId="77777777" w:rsidR="003D0BC2" w:rsidRDefault="003D0BC2" w:rsidP="00F041A4">
      <w:pPr>
        <w:ind w:left="432" w:hanging="432"/>
        <w:rPr>
          <w:sz w:val="20"/>
          <w:szCs w:val="20"/>
        </w:rPr>
      </w:pPr>
    </w:p>
    <w:p w14:paraId="076038D5" w14:textId="7A0A7922" w:rsidR="003D0BC2" w:rsidRPr="00B96F51" w:rsidRDefault="003D0BC2" w:rsidP="00F041A4">
      <w:pPr>
        <w:ind w:left="432" w:hanging="432"/>
        <w:rPr>
          <w:sz w:val="20"/>
          <w:szCs w:val="20"/>
        </w:rPr>
        <w:sectPr w:rsidR="003D0BC2" w:rsidRPr="00B96F51" w:rsidSect="003D0BC2">
          <w:headerReference w:type="default" r:id="rId8"/>
          <w:pgSz w:w="11906" w:h="16838" w:code="9"/>
          <w:pgMar w:top="1418" w:right="1418" w:bottom="1134" w:left="993" w:header="709" w:footer="709" w:gutter="0"/>
          <w:cols w:space="708"/>
          <w:docGrid w:linePitch="360"/>
        </w:sectPr>
      </w:pPr>
    </w:p>
    <w:p w14:paraId="367647D2" w14:textId="7D941932" w:rsidR="00915BB5" w:rsidRPr="00F041A4" w:rsidRDefault="00915BB5" w:rsidP="00955092">
      <w:pPr>
        <w:pStyle w:val="berschrift1"/>
        <w:numPr>
          <w:ilvl w:val="0"/>
          <w:numId w:val="31"/>
        </w:numPr>
        <w:spacing w:before="0"/>
        <w:ind w:left="431" w:hanging="431"/>
      </w:pPr>
      <w:r w:rsidRPr="00F041A4">
        <w:lastRenderedPageBreak/>
        <w:t xml:space="preserve">Prozessmodell für den Umgang mit Hinweisen gemäß dem </w:t>
      </w:r>
      <w:proofErr w:type="spellStart"/>
      <w:r w:rsidRPr="00F041A4">
        <w:t>Hinweisgeber</w:t>
      </w:r>
      <w:r w:rsidR="00125994">
        <w:t>I</w:t>
      </w:r>
      <w:r w:rsidRPr="00F041A4">
        <w:t>nnenschutzgesetz</w:t>
      </w:r>
      <w:proofErr w:type="spellEnd"/>
    </w:p>
    <w:p w14:paraId="72AE0E97" w14:textId="77777777" w:rsidR="00915BB5" w:rsidRDefault="00915BB5" w:rsidP="00915BB5"/>
    <w:p w14:paraId="1A72A5C1" w14:textId="58959579" w:rsidR="00915BB5" w:rsidRPr="00F041A4" w:rsidRDefault="00915BB5" w:rsidP="00F041A4">
      <w:pPr>
        <w:pStyle w:val="berschrift2"/>
      </w:pPr>
      <w:r w:rsidRPr="00F041A4">
        <w:t>Vorbereitung: Einrichtung von Meldekanälen</w:t>
      </w:r>
    </w:p>
    <w:p w14:paraId="3B4D89FF" w14:textId="77777777" w:rsidR="00915BB5" w:rsidRDefault="00915BB5" w:rsidP="00915BB5"/>
    <w:p w14:paraId="28B3CDE9" w14:textId="00BB4B2A" w:rsidR="00915BB5" w:rsidRPr="00F041A4" w:rsidRDefault="00915BB5" w:rsidP="00915BB5">
      <w:pPr>
        <w:rPr>
          <w:b/>
          <w:bCs/>
          <w:color w:val="F08050"/>
        </w:rPr>
      </w:pPr>
      <w:r w:rsidRPr="00F041A4">
        <w:rPr>
          <w:b/>
          <w:bCs/>
          <w:color w:val="F08050"/>
        </w:rPr>
        <w:t xml:space="preserve"> 1. Schritt: Einrichtung interner und externer Meldekanäle</w:t>
      </w:r>
    </w:p>
    <w:p w14:paraId="14EF280F" w14:textId="77777777" w:rsidR="00915BB5" w:rsidRDefault="00915BB5" w:rsidP="003D0BC2">
      <w:pPr>
        <w:jc w:val="both"/>
      </w:pPr>
    </w:p>
    <w:p w14:paraId="35E074B5" w14:textId="0138818A" w:rsidR="00915BB5" w:rsidRDefault="00915BB5" w:rsidP="003D0BC2">
      <w:pPr>
        <w:pStyle w:val="Listenabsatz"/>
        <w:numPr>
          <w:ilvl w:val="0"/>
          <w:numId w:val="34"/>
        </w:numPr>
        <w:ind w:left="714" w:hanging="357"/>
        <w:jc w:val="both"/>
      </w:pPr>
      <w:r>
        <w:t>Verantwortlich: Compliance-Abteilung oder eine speziell eingerichtete Stelle für Hinweisgeberschutz.</w:t>
      </w:r>
    </w:p>
    <w:p w14:paraId="7EEA1280" w14:textId="3FCA54D2" w:rsidR="00915BB5" w:rsidRDefault="00915BB5" w:rsidP="003D0BC2">
      <w:pPr>
        <w:pStyle w:val="Listenabsatz"/>
        <w:numPr>
          <w:ilvl w:val="0"/>
          <w:numId w:val="34"/>
        </w:numPr>
        <w:ind w:left="714" w:hanging="357"/>
        <w:jc w:val="both"/>
      </w:pPr>
      <w:r>
        <w:t>Aktion: Einrichtung sicherer und vertraulicher interner Meldekanäle, die es Mitarbeitern</w:t>
      </w:r>
      <w:r w:rsidR="00A54EE2">
        <w:t xml:space="preserve"> und Mitarbeiterinnen</w:t>
      </w:r>
      <w:r>
        <w:t>, externen Personen und Geschäftspartnern</w:t>
      </w:r>
      <w:r w:rsidR="00A54EE2">
        <w:t xml:space="preserve"> und </w:t>
      </w:r>
      <w:r w:rsidR="00125994">
        <w:t>-</w:t>
      </w:r>
      <w:r w:rsidR="00A54EE2">
        <w:t>partnerinnen</w:t>
      </w:r>
      <w:r>
        <w:t xml:space="preserve"> ermöglichen, Hinweise anonym oder offen abzugeben. Zusätzlich Information über externe Meldekanäle, wie z.B. Behörden oder spezialisierte externe Dienstleister</w:t>
      </w:r>
      <w:r w:rsidR="00A54EE2">
        <w:t>:innen</w:t>
      </w:r>
      <w:r>
        <w:t>, die als Alternative oder Ergänzung zu den internen Kanälen dienen.</w:t>
      </w:r>
    </w:p>
    <w:p w14:paraId="74D4B507" w14:textId="77777777" w:rsidR="00915BB5" w:rsidRDefault="00915BB5" w:rsidP="003D0BC2">
      <w:pPr>
        <w:jc w:val="both"/>
      </w:pPr>
    </w:p>
    <w:p w14:paraId="1F31C98D" w14:textId="2288CEFE" w:rsidR="00915BB5" w:rsidRPr="00F041A4" w:rsidRDefault="00915BB5" w:rsidP="00915BB5">
      <w:pPr>
        <w:rPr>
          <w:b/>
          <w:bCs/>
          <w:color w:val="F08050"/>
        </w:rPr>
      </w:pPr>
      <w:r w:rsidRPr="00F041A4">
        <w:rPr>
          <w:b/>
          <w:bCs/>
          <w:color w:val="F08050"/>
        </w:rPr>
        <w:t xml:space="preserve"> 2. Schritt: Eingang und Erstanalyse der Meldung</w:t>
      </w:r>
    </w:p>
    <w:p w14:paraId="540DF160" w14:textId="77777777" w:rsidR="00915BB5" w:rsidRDefault="00915BB5" w:rsidP="003D0BC2">
      <w:pPr>
        <w:jc w:val="both"/>
      </w:pPr>
    </w:p>
    <w:p w14:paraId="35F1D0D5" w14:textId="43794630" w:rsidR="00915BB5" w:rsidRDefault="00915BB5" w:rsidP="003D0BC2">
      <w:pPr>
        <w:pStyle w:val="Listenabsatz"/>
        <w:numPr>
          <w:ilvl w:val="0"/>
          <w:numId w:val="34"/>
        </w:numPr>
        <w:ind w:left="714" w:hanging="357"/>
        <w:jc w:val="both"/>
      </w:pPr>
      <w:r>
        <w:t>Verantwortlich: Erste Anlaufstelle (Compliance-Abteilung oder Hinweisgeberschutzstelle).</w:t>
      </w:r>
    </w:p>
    <w:p w14:paraId="18E556DE" w14:textId="7735EDC0" w:rsidR="00915BB5" w:rsidRDefault="00915BB5" w:rsidP="003D0BC2">
      <w:pPr>
        <w:pStyle w:val="Listenabsatz"/>
        <w:numPr>
          <w:ilvl w:val="0"/>
          <w:numId w:val="34"/>
        </w:numPr>
        <w:ind w:left="714" w:hanging="357"/>
        <w:jc w:val="both"/>
      </w:pPr>
      <w:r>
        <w:t xml:space="preserve">Aktion: Bestätigung des Eingangs der Meldung innerhalb einer gesetzlich festgelegten Frist (in der Regel wenige Tage). Erste Bewertung der Meldung, um </w:t>
      </w:r>
      <w:r w:rsidR="00125994">
        <w:t>ihre</w:t>
      </w:r>
      <w:r>
        <w:t xml:space="preserve"> Glaubwürdigkeit und den Schweregrad des gemeldeten Sachverhalts zu beurteilen.</w:t>
      </w:r>
    </w:p>
    <w:p w14:paraId="3142542C" w14:textId="77777777" w:rsidR="00915BB5" w:rsidRDefault="00915BB5" w:rsidP="003D0BC2">
      <w:pPr>
        <w:jc w:val="both"/>
      </w:pPr>
    </w:p>
    <w:p w14:paraId="58A3E770" w14:textId="6469B750" w:rsidR="00915BB5" w:rsidRPr="00F041A4" w:rsidRDefault="00915BB5" w:rsidP="00915BB5">
      <w:pPr>
        <w:rPr>
          <w:b/>
          <w:bCs/>
          <w:color w:val="F08050"/>
        </w:rPr>
      </w:pPr>
      <w:r w:rsidRPr="00F041A4">
        <w:rPr>
          <w:b/>
          <w:bCs/>
          <w:color w:val="F08050"/>
        </w:rPr>
        <w:t xml:space="preserve"> 3. Schritt: Interne Untersuchung</w:t>
      </w:r>
    </w:p>
    <w:p w14:paraId="22F28A28" w14:textId="77777777" w:rsidR="00915BB5" w:rsidRDefault="00915BB5" w:rsidP="003D0BC2">
      <w:pPr>
        <w:jc w:val="both"/>
      </w:pPr>
    </w:p>
    <w:p w14:paraId="4DAAEB89" w14:textId="22F49097" w:rsidR="00915BB5" w:rsidRDefault="00915BB5" w:rsidP="003D0BC2">
      <w:pPr>
        <w:pStyle w:val="Listenabsatz"/>
        <w:numPr>
          <w:ilvl w:val="0"/>
          <w:numId w:val="34"/>
        </w:numPr>
        <w:jc w:val="both"/>
      </w:pPr>
      <w:r>
        <w:t>Verantwortlich: Interne Untersuchungskommission, bestehend aus Mitgliedern der Compliance-Abteilung, der Rechtsabteilung und gegebenenfalls der internen Revision.</w:t>
      </w:r>
    </w:p>
    <w:p w14:paraId="311AB9CB" w14:textId="4BC794C9" w:rsidR="00915BB5" w:rsidRDefault="00915BB5" w:rsidP="003D0BC2">
      <w:pPr>
        <w:pStyle w:val="Listenabsatz"/>
        <w:numPr>
          <w:ilvl w:val="0"/>
          <w:numId w:val="34"/>
        </w:numPr>
        <w:jc w:val="both"/>
      </w:pPr>
      <w:r>
        <w:t>Aktion: Durchführung einer detaillierten Untersuchung des gemeldeten Sachverhalts. Dies kann Interviews, Dokumentenprüfungen und weitere Nachforschungen umfassen.</w:t>
      </w:r>
    </w:p>
    <w:p w14:paraId="69565E1C" w14:textId="77777777" w:rsidR="00915BB5" w:rsidRDefault="00915BB5" w:rsidP="003D0BC2">
      <w:pPr>
        <w:jc w:val="both"/>
      </w:pPr>
    </w:p>
    <w:p w14:paraId="31654F4F" w14:textId="1899CDCC" w:rsidR="00915BB5" w:rsidRPr="00F041A4" w:rsidRDefault="00915BB5" w:rsidP="003D0BC2">
      <w:pPr>
        <w:jc w:val="both"/>
        <w:rPr>
          <w:b/>
          <w:bCs/>
          <w:color w:val="F08050"/>
        </w:rPr>
      </w:pPr>
      <w:r w:rsidRPr="00F041A4">
        <w:rPr>
          <w:b/>
          <w:bCs/>
          <w:color w:val="F08050"/>
        </w:rPr>
        <w:t xml:space="preserve"> 4. Schritt: Entscheidung über Maßnahmen</w:t>
      </w:r>
    </w:p>
    <w:p w14:paraId="16A05C33" w14:textId="77777777" w:rsidR="00915BB5" w:rsidRDefault="00915BB5" w:rsidP="003D0BC2">
      <w:pPr>
        <w:jc w:val="both"/>
      </w:pPr>
    </w:p>
    <w:p w14:paraId="20FDC37B" w14:textId="3A9008E3" w:rsidR="00915BB5" w:rsidRDefault="00915BB5" w:rsidP="003D0BC2">
      <w:pPr>
        <w:pStyle w:val="Listenabsatz"/>
        <w:numPr>
          <w:ilvl w:val="0"/>
          <w:numId w:val="34"/>
        </w:numPr>
        <w:jc w:val="both"/>
      </w:pPr>
      <w:r>
        <w:t>Verantwortlich: Geschäftsleitung und Compliance-Abteilung.</w:t>
      </w:r>
    </w:p>
    <w:p w14:paraId="42410CF1" w14:textId="795F9327" w:rsidR="00915BB5" w:rsidRDefault="00915BB5" w:rsidP="003D0BC2">
      <w:pPr>
        <w:pStyle w:val="Listenabsatz"/>
        <w:numPr>
          <w:ilvl w:val="0"/>
          <w:numId w:val="34"/>
        </w:numPr>
        <w:jc w:val="both"/>
      </w:pPr>
      <w:r>
        <w:t>Aktion: Entscheidung über die zu ergreifenden Maßnahmen basierend auf den Untersuchungsergebnissen. Dies kann von internen Veränderungen, Disziplinarmaßnahmen bis hin zu rechtlichen Schritten reichen.</w:t>
      </w:r>
    </w:p>
    <w:p w14:paraId="549A496C" w14:textId="77777777" w:rsidR="00915BB5" w:rsidRDefault="00915BB5" w:rsidP="003D0BC2">
      <w:pPr>
        <w:jc w:val="both"/>
      </w:pPr>
    </w:p>
    <w:p w14:paraId="3DFFA633" w14:textId="5EC2D757" w:rsidR="00915BB5" w:rsidRPr="00F041A4" w:rsidRDefault="00915BB5" w:rsidP="003D0BC2">
      <w:pPr>
        <w:jc w:val="both"/>
        <w:rPr>
          <w:b/>
          <w:bCs/>
          <w:color w:val="F08050"/>
        </w:rPr>
      </w:pPr>
      <w:r w:rsidRPr="00F041A4">
        <w:rPr>
          <w:b/>
          <w:bCs/>
          <w:color w:val="F08050"/>
        </w:rPr>
        <w:t xml:space="preserve"> 5. Schritt: Feedback an den Hinweisgeber</w:t>
      </w:r>
    </w:p>
    <w:p w14:paraId="1397D6EF" w14:textId="77777777" w:rsidR="00915BB5" w:rsidRDefault="00915BB5" w:rsidP="003D0BC2">
      <w:pPr>
        <w:jc w:val="both"/>
      </w:pPr>
    </w:p>
    <w:p w14:paraId="431D5196" w14:textId="46175F74" w:rsidR="00915BB5" w:rsidRDefault="00915BB5" w:rsidP="003D0BC2">
      <w:pPr>
        <w:pStyle w:val="Listenabsatz"/>
        <w:numPr>
          <w:ilvl w:val="0"/>
          <w:numId w:val="34"/>
        </w:numPr>
        <w:jc w:val="both"/>
      </w:pPr>
      <w:r>
        <w:t>Verantwortlich: Compliance-Abteilung oder Hinweisgeberschutzstelle.</w:t>
      </w:r>
    </w:p>
    <w:p w14:paraId="56CFBB43" w14:textId="7CC350F7" w:rsidR="00915BB5" w:rsidRDefault="00915BB5" w:rsidP="003D0BC2">
      <w:pPr>
        <w:pStyle w:val="Listenabsatz"/>
        <w:numPr>
          <w:ilvl w:val="0"/>
          <w:numId w:val="34"/>
        </w:numPr>
        <w:jc w:val="both"/>
      </w:pPr>
      <w:r>
        <w:t>Aktion: Rückmeldung an den</w:t>
      </w:r>
      <w:r w:rsidR="00A54EE2">
        <w:t xml:space="preserve"> oder die</w:t>
      </w:r>
      <w:r>
        <w:t xml:space="preserve"> Hinweisgeber</w:t>
      </w:r>
      <w:r w:rsidR="00A54EE2">
        <w:t>:in</w:t>
      </w:r>
      <w:r>
        <w:t xml:space="preserve"> (sofern dessen Identität bekannt ist oder eine anonyme Kommunikation möglich ist) über den Ausgang der Untersuchung und die ergriffenen Maßnahmen, unter Beachtung der gesetzlichen Vorgaben und Datenschutzbestimmungen.</w:t>
      </w:r>
    </w:p>
    <w:p w14:paraId="7A4FD606" w14:textId="77777777" w:rsidR="00915BB5" w:rsidRDefault="00915BB5" w:rsidP="003D0BC2">
      <w:pPr>
        <w:jc w:val="both"/>
      </w:pPr>
    </w:p>
    <w:p w14:paraId="63D29877" w14:textId="23FB24DA" w:rsidR="00915BB5" w:rsidRPr="00F041A4" w:rsidRDefault="00915BB5" w:rsidP="003D0BC2">
      <w:pPr>
        <w:jc w:val="both"/>
        <w:rPr>
          <w:b/>
          <w:bCs/>
          <w:color w:val="F08050"/>
        </w:rPr>
      </w:pPr>
      <w:r w:rsidRPr="00F041A4">
        <w:rPr>
          <w:b/>
          <w:bCs/>
          <w:color w:val="F08050"/>
        </w:rPr>
        <w:t xml:space="preserve"> 6. Schritt: Dokumentation und Reporting</w:t>
      </w:r>
    </w:p>
    <w:p w14:paraId="213009D7" w14:textId="77777777" w:rsidR="00915BB5" w:rsidRDefault="00915BB5" w:rsidP="003D0BC2">
      <w:pPr>
        <w:jc w:val="both"/>
      </w:pPr>
    </w:p>
    <w:p w14:paraId="4AF63334" w14:textId="0276A10B" w:rsidR="00915BB5" w:rsidRDefault="00915BB5" w:rsidP="003D0BC2">
      <w:pPr>
        <w:pStyle w:val="Listenabsatz"/>
        <w:numPr>
          <w:ilvl w:val="0"/>
          <w:numId w:val="34"/>
        </w:numPr>
        <w:jc w:val="both"/>
      </w:pPr>
      <w:r>
        <w:t>Verantwortlich: Compliance-Abteilung.</w:t>
      </w:r>
    </w:p>
    <w:p w14:paraId="62173146" w14:textId="2E051B79" w:rsidR="00915BB5" w:rsidRDefault="00915BB5" w:rsidP="003D0BC2">
      <w:pPr>
        <w:pStyle w:val="Listenabsatz"/>
        <w:numPr>
          <w:ilvl w:val="0"/>
          <w:numId w:val="34"/>
        </w:numPr>
        <w:jc w:val="both"/>
      </w:pPr>
      <w:r>
        <w:t>Aktion: Dokumentation aller Schritte des Verfahrens, der Untersuchungsergebnisse und der ergriffenen Maßnahmen. Sicherstellung der Vertraulichkeit und des Schutzes der beteiligten Personen.</w:t>
      </w:r>
    </w:p>
    <w:p w14:paraId="2ECA2D09" w14:textId="77777777" w:rsidR="00915BB5" w:rsidRDefault="00915BB5" w:rsidP="003D0BC2">
      <w:pPr>
        <w:jc w:val="both"/>
      </w:pPr>
    </w:p>
    <w:p w14:paraId="1D2E8D9C" w14:textId="0A4F96B4" w:rsidR="00915BB5" w:rsidRPr="00F041A4" w:rsidRDefault="00915BB5" w:rsidP="003D0BC2">
      <w:pPr>
        <w:jc w:val="both"/>
        <w:rPr>
          <w:b/>
          <w:bCs/>
          <w:color w:val="F08050"/>
        </w:rPr>
      </w:pPr>
      <w:r w:rsidRPr="00F041A4">
        <w:rPr>
          <w:b/>
          <w:bCs/>
          <w:color w:val="F08050"/>
        </w:rPr>
        <w:t xml:space="preserve"> 7. Schritt: Externe Meldung und Zusammenarbeit mit Behörden</w:t>
      </w:r>
    </w:p>
    <w:p w14:paraId="1DFB5D42" w14:textId="77777777" w:rsidR="00915BB5" w:rsidRDefault="00915BB5" w:rsidP="003D0BC2">
      <w:pPr>
        <w:jc w:val="both"/>
      </w:pPr>
    </w:p>
    <w:p w14:paraId="4F3580AC" w14:textId="3386F443" w:rsidR="00915BB5" w:rsidRDefault="00915BB5" w:rsidP="003D0BC2">
      <w:pPr>
        <w:pStyle w:val="Listenabsatz"/>
        <w:numPr>
          <w:ilvl w:val="0"/>
          <w:numId w:val="34"/>
        </w:numPr>
        <w:jc w:val="both"/>
      </w:pPr>
      <w:r>
        <w:t>Verantwortlich: Compliance-Abteilung oder Geschäftsleitung.</w:t>
      </w:r>
    </w:p>
    <w:p w14:paraId="52961C34" w14:textId="1361EA72" w:rsidR="00915BB5" w:rsidRDefault="00915BB5" w:rsidP="003D0BC2">
      <w:pPr>
        <w:pStyle w:val="Listenabsatz"/>
        <w:numPr>
          <w:ilvl w:val="0"/>
          <w:numId w:val="34"/>
        </w:numPr>
        <w:jc w:val="both"/>
      </w:pPr>
      <w:r>
        <w:t xml:space="preserve">Aktion: </w:t>
      </w:r>
      <w:r w:rsidR="00125994" w:rsidRPr="00125994">
        <w:t>Weiterleitung der Meldung an externe Stellen (z.B. Behörden, Aufsichtsorgane), wenn intern keine zufriedenstellende Lösung gefunden werden kann oder die Schwere des Falles dies erfordert. Zusammenarbeit mit diesen Stellen gemäß den gesetzlichen Anforderungen.</w:t>
      </w:r>
    </w:p>
    <w:p w14:paraId="0F607A13" w14:textId="77777777" w:rsidR="00915BB5" w:rsidRDefault="00915BB5" w:rsidP="003D0BC2">
      <w:pPr>
        <w:jc w:val="both"/>
      </w:pPr>
    </w:p>
    <w:p w14:paraId="0337D22B" w14:textId="41503CBC" w:rsidR="00915BB5" w:rsidRDefault="00915BB5" w:rsidP="00F041A4">
      <w:pPr>
        <w:pStyle w:val="berschrift2"/>
      </w:pPr>
      <w:r>
        <w:t>Wichtige Aspekte des Gesetzes und notwendige Festlegungen im Unternehmen:</w:t>
      </w:r>
    </w:p>
    <w:p w14:paraId="0F8675FE" w14:textId="77777777" w:rsidR="00915BB5" w:rsidRDefault="00915BB5" w:rsidP="003D0BC2">
      <w:pPr>
        <w:jc w:val="both"/>
      </w:pPr>
    </w:p>
    <w:p w14:paraId="346957DC" w14:textId="038C6FEE" w:rsidR="00915BB5" w:rsidRDefault="00915BB5" w:rsidP="003D0BC2">
      <w:pPr>
        <w:pStyle w:val="Listenabsatz"/>
        <w:numPr>
          <w:ilvl w:val="0"/>
          <w:numId w:val="34"/>
        </w:numPr>
        <w:jc w:val="both"/>
      </w:pPr>
      <w:r>
        <w:t xml:space="preserve">Anonymität: Sicherstellung, dass die Identität des Hinweisgebers </w:t>
      </w:r>
      <w:r w:rsidR="00A54EE2">
        <w:t xml:space="preserve">oder der Hinweisgeberin </w:t>
      </w:r>
      <w:r>
        <w:t>geschützt bleibt, sofern diese</w:t>
      </w:r>
      <w:r w:rsidR="00A54EE2">
        <w:t>:</w:t>
      </w:r>
      <w:r>
        <w:t>r anonym bleiben möchte.</w:t>
      </w:r>
    </w:p>
    <w:p w14:paraId="485C6172" w14:textId="6EC627F6" w:rsidR="00915BB5" w:rsidRDefault="00915BB5" w:rsidP="003D0BC2">
      <w:pPr>
        <w:pStyle w:val="Listenabsatz"/>
        <w:numPr>
          <w:ilvl w:val="0"/>
          <w:numId w:val="34"/>
        </w:numPr>
        <w:jc w:val="both"/>
      </w:pPr>
      <w:r>
        <w:t>Schutz vor Repressalien: Implementierung von Maßnahmen zum Schutz des Hinweisgebers</w:t>
      </w:r>
      <w:r w:rsidR="00A54EE2">
        <w:t xml:space="preserve"> oder der Hinweisgeberin</w:t>
      </w:r>
      <w:r>
        <w:t xml:space="preserve"> vor jeglichen Repressalien als Folge der Meldung.</w:t>
      </w:r>
    </w:p>
    <w:p w14:paraId="1B133A0B" w14:textId="5AB71A41" w:rsidR="00915BB5" w:rsidRDefault="00915BB5" w:rsidP="003D0BC2">
      <w:pPr>
        <w:pStyle w:val="Listenabsatz"/>
        <w:numPr>
          <w:ilvl w:val="0"/>
          <w:numId w:val="34"/>
        </w:numPr>
        <w:jc w:val="both"/>
      </w:pPr>
      <w:r>
        <w:t>Transparenz und Information: Informieren der Mitarbeiter</w:t>
      </w:r>
      <w:r w:rsidR="00A54EE2">
        <w:t>:innen</w:t>
      </w:r>
      <w:r>
        <w:t xml:space="preserve"> über die vorhandenen Meldekanäle und den Prozess der Hinweisgebung.</w:t>
      </w:r>
    </w:p>
    <w:p w14:paraId="4BA6737D" w14:textId="703FA00E" w:rsidR="00915BB5" w:rsidRDefault="00915BB5" w:rsidP="003D0BC2">
      <w:pPr>
        <w:pStyle w:val="Listenabsatz"/>
        <w:numPr>
          <w:ilvl w:val="0"/>
          <w:numId w:val="34"/>
        </w:numPr>
        <w:jc w:val="both"/>
      </w:pPr>
      <w:r>
        <w:t>Auslagerung für kleine Unternehmen: Für kleine Unternehmen kann es sinnvoll sein, das Thema auszulagern, da nicht genügend verschiedene Personen vorhanden sind, um die Anonymität und den Schutz vor Repressalien sicherzustellen.</w:t>
      </w:r>
    </w:p>
    <w:p w14:paraId="4BA964CA" w14:textId="77777777" w:rsidR="00915BB5" w:rsidRDefault="00915BB5" w:rsidP="003D0BC2">
      <w:pPr>
        <w:jc w:val="both"/>
      </w:pPr>
    </w:p>
    <w:p w14:paraId="3C8C862E" w14:textId="3E36D4FC" w:rsidR="00915BB5" w:rsidRDefault="00915BB5" w:rsidP="00F041A4">
      <w:pPr>
        <w:pStyle w:val="berschrift2"/>
      </w:pPr>
      <w:r>
        <w:t>Notwendige Festlegungen im Unternehmen:</w:t>
      </w:r>
    </w:p>
    <w:p w14:paraId="760462A8" w14:textId="77777777" w:rsidR="00915BB5" w:rsidRDefault="00915BB5" w:rsidP="003D0BC2">
      <w:pPr>
        <w:jc w:val="both"/>
      </w:pPr>
    </w:p>
    <w:p w14:paraId="2149BFF8" w14:textId="1AA340BA" w:rsidR="00915BB5" w:rsidRDefault="00915BB5" w:rsidP="003D0BC2">
      <w:pPr>
        <w:pStyle w:val="Listenabsatz"/>
        <w:numPr>
          <w:ilvl w:val="0"/>
          <w:numId w:val="34"/>
        </w:numPr>
        <w:jc w:val="both"/>
      </w:pPr>
      <w:r>
        <w:t>Richtlinien und Verfahren: Entwicklung klarer Richtlinien und Verfahren für den Umgang mit Hinweisen, die den gesetzlichen Anforderungen entsprechen.</w:t>
      </w:r>
    </w:p>
    <w:p w14:paraId="2556472A" w14:textId="6386D2D1" w:rsidR="00915BB5" w:rsidRDefault="00915BB5" w:rsidP="003D0BC2">
      <w:pPr>
        <w:pStyle w:val="Listenabsatz"/>
        <w:numPr>
          <w:ilvl w:val="0"/>
          <w:numId w:val="34"/>
        </w:numPr>
        <w:jc w:val="both"/>
      </w:pPr>
      <w:r>
        <w:t>Schulung und Bewusstsein: Regelmäßige Schulungen für Mitarbeiter</w:t>
      </w:r>
      <w:r w:rsidR="00480645">
        <w:t>:innen</w:t>
      </w:r>
      <w:r>
        <w:t xml:space="preserve"> und Führungskräfte, um das Bewusstsein und das Verständnis für den Prozess und die Bedeutung des Hinweisgeberschutzes zu fördern.</w:t>
      </w:r>
    </w:p>
    <w:p w14:paraId="79F4E754" w14:textId="4CD9B4D9" w:rsidR="00915BB5" w:rsidRDefault="00915BB5" w:rsidP="003D0BC2">
      <w:pPr>
        <w:pStyle w:val="Listenabsatz"/>
        <w:numPr>
          <w:ilvl w:val="0"/>
          <w:numId w:val="34"/>
        </w:numPr>
        <w:jc w:val="both"/>
      </w:pPr>
      <w:r>
        <w:t>Überwachung und Überprüfung: Einrichtung von Mechanismen zur Überwachung der Wirksamkeit der Meldekanäle und zur regelmäßigen Überprüfung der Verfahren und Richtlinien.</w:t>
      </w:r>
    </w:p>
    <w:p w14:paraId="435B6FE3" w14:textId="5F825B5C" w:rsidR="00915BB5" w:rsidRDefault="00915BB5" w:rsidP="003D0BC2">
      <w:pPr>
        <w:pStyle w:val="Listenabsatz"/>
        <w:numPr>
          <w:ilvl w:val="0"/>
          <w:numId w:val="34"/>
        </w:numPr>
        <w:jc w:val="both"/>
      </w:pPr>
      <w:r>
        <w:t>Organisation: Festlegung, wer innerhalb des Unternehmens für welche Schritte verantwortlich ist, um eine klare Verantwortungsstruktur zu schaffen und die Einhaltung des Prozesses zu gewährleisten.</w:t>
      </w:r>
    </w:p>
    <w:p w14:paraId="25E0205F" w14:textId="77777777" w:rsidR="00915BB5" w:rsidRDefault="00915BB5" w:rsidP="003D0BC2">
      <w:pPr>
        <w:jc w:val="both"/>
      </w:pPr>
    </w:p>
    <w:p w14:paraId="7CB840A2" w14:textId="2246AC3D" w:rsidR="001C249D" w:rsidRDefault="00915BB5" w:rsidP="003D0BC2">
      <w:pPr>
        <w:jc w:val="both"/>
      </w:pPr>
      <w:r>
        <w:t>Dieses Modell muss an die spezifischen Anforderungen des Gesetzes und die Struktur des jeweiligen Unternehmens angepasst werden, um einen effektiven und gesetzeskonformen Umgang mit Hinweisen zu gewährleisten.</w:t>
      </w:r>
    </w:p>
    <w:p w14:paraId="5BF75F25" w14:textId="77777777" w:rsidR="003D0BC2" w:rsidRPr="004441FB" w:rsidRDefault="003D0BC2" w:rsidP="003D0BC2">
      <w:pPr>
        <w:jc w:val="both"/>
      </w:pPr>
    </w:p>
    <w:sectPr w:rsidR="003D0BC2" w:rsidRPr="004441FB" w:rsidSect="00C15B7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0A9A" w14:textId="77777777" w:rsidR="0053125F" w:rsidRDefault="0053125F" w:rsidP="002B13A4">
      <w:pPr>
        <w:spacing w:line="240" w:lineRule="auto"/>
      </w:pPr>
      <w:r>
        <w:separator/>
      </w:r>
    </w:p>
  </w:endnote>
  <w:endnote w:type="continuationSeparator" w:id="0">
    <w:p w14:paraId="684FF564" w14:textId="77777777" w:rsidR="0053125F" w:rsidRDefault="0053125F" w:rsidP="002B1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Klavika L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w:panose1 w:val="02000503090000020004"/>
    <w:charset w:val="00"/>
    <w:family w:val="auto"/>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7F54" w14:textId="5E633A91" w:rsidR="00B96F51" w:rsidRDefault="00B96F51">
    <w:pPr>
      <w:pStyle w:val="Fuzeile"/>
      <w:rPr>
        <w:sz w:val="14"/>
      </w:rPr>
    </w:pPr>
    <w:r>
      <w:rPr>
        <w:sz w:val="14"/>
      </w:rPr>
      <w:tab/>
      <w:t>Prozessmodell „Umgang mit Hinweisen“</w:t>
    </w:r>
    <w:r>
      <w:rPr>
        <w:sz w:val="14"/>
      </w:rPr>
      <w:tab/>
      <w:t xml:space="preserve">Seite </w:t>
    </w:r>
    <w:r w:rsidRPr="00B96F51">
      <w:rPr>
        <w:sz w:val="14"/>
      </w:rPr>
      <w:fldChar w:fldCharType="begin"/>
    </w:r>
    <w:r w:rsidRPr="00B96F51">
      <w:rPr>
        <w:sz w:val="14"/>
      </w:rPr>
      <w:instrText>PAGE   \* MERGEFORMAT</w:instrText>
    </w:r>
    <w:r w:rsidRPr="00B96F51">
      <w:rPr>
        <w:sz w:val="14"/>
      </w:rPr>
      <w:fldChar w:fldCharType="separate"/>
    </w:r>
    <w:r w:rsidRPr="00B96F51">
      <w:rPr>
        <w:sz w:val="14"/>
        <w:lang w:val="de-DE"/>
      </w:rPr>
      <w:t>1</w:t>
    </w:r>
    <w:r w:rsidRPr="00B96F51">
      <w:rPr>
        <w:sz w:val="14"/>
      </w:rPr>
      <w:fldChar w:fldCharType="end"/>
    </w:r>
  </w:p>
  <w:p w14:paraId="3CADA443" w14:textId="7BBF77C7" w:rsidR="00B96F51" w:rsidRPr="00F961D6" w:rsidRDefault="00B96F51">
    <w:pPr>
      <w:pStyle w:val="Fuzeile"/>
      <w:rPr>
        <w:sz w:val="14"/>
      </w:rPr>
    </w:pPr>
    <w:r>
      <w:rPr>
        <w:sz w:val="14"/>
      </w:rPr>
      <w:tab/>
      <w:t>[COM_ORG_003_B]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E12D2" w14:textId="77777777" w:rsidR="0053125F" w:rsidRDefault="0053125F" w:rsidP="002B13A4">
      <w:pPr>
        <w:spacing w:line="240" w:lineRule="auto"/>
      </w:pPr>
      <w:r>
        <w:separator/>
      </w:r>
    </w:p>
  </w:footnote>
  <w:footnote w:type="continuationSeparator" w:id="0">
    <w:p w14:paraId="3D635ED9" w14:textId="77777777" w:rsidR="0053125F" w:rsidRDefault="0053125F" w:rsidP="002B13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6FE2" w14:textId="77777777" w:rsidR="00F46B57" w:rsidRDefault="00F46B57" w:rsidP="00F46B57">
    <w:pPr>
      <w:pStyle w:val="Kopfzeile"/>
    </w:pPr>
    <w:r w:rsidRPr="004B1119">
      <mc:AlternateContent>
        <mc:Choice Requires="wpg">
          <w:drawing>
            <wp:anchor distT="0" distB="0" distL="114300" distR="114300" simplePos="0" relativeHeight="251659264" behindDoc="1" locked="0" layoutInCell="1" allowOverlap="1" wp14:anchorId="300AEE18" wp14:editId="2E5CE304">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05E7861"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3C7DD131" wp14:editId="41CF1C3E">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4B00DF30" w14:textId="77777777" w:rsidR="00F46B57" w:rsidRDefault="00F46B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020"/>
    <w:multiLevelType w:val="multilevel"/>
    <w:tmpl w:val="C14AB524"/>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 w15:restartNumberingAfterBreak="0">
    <w:nsid w:val="0A173B9B"/>
    <w:multiLevelType w:val="hybridMultilevel"/>
    <w:tmpl w:val="B268D7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B463C8A"/>
    <w:multiLevelType w:val="hybridMultilevel"/>
    <w:tmpl w:val="A8624094"/>
    <w:lvl w:ilvl="0" w:tplc="C6BA8760">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0014A4"/>
    <w:multiLevelType w:val="hybridMultilevel"/>
    <w:tmpl w:val="3DCE5854"/>
    <w:lvl w:ilvl="0" w:tplc="C6BA8760">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7C00D5"/>
    <w:multiLevelType w:val="hybridMultilevel"/>
    <w:tmpl w:val="349C8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8D4D17"/>
    <w:multiLevelType w:val="hybridMultilevel"/>
    <w:tmpl w:val="49A6F4CA"/>
    <w:lvl w:ilvl="0" w:tplc="C6BA8760">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E1A47CC"/>
    <w:multiLevelType w:val="hybridMultilevel"/>
    <w:tmpl w:val="57DCED7C"/>
    <w:lvl w:ilvl="0" w:tplc="C6BA8760">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B9142C"/>
    <w:multiLevelType w:val="hybridMultilevel"/>
    <w:tmpl w:val="19CAA472"/>
    <w:lvl w:ilvl="0" w:tplc="C6BA8760">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00352BC"/>
    <w:multiLevelType w:val="hybridMultilevel"/>
    <w:tmpl w:val="6FF4628A"/>
    <w:lvl w:ilvl="0" w:tplc="C6BA8760">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DC3321"/>
    <w:multiLevelType w:val="hybridMultilevel"/>
    <w:tmpl w:val="69462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8C13AC3"/>
    <w:multiLevelType w:val="hybridMultilevel"/>
    <w:tmpl w:val="0BA06252"/>
    <w:lvl w:ilvl="0" w:tplc="C6BA8760">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5CD4244"/>
    <w:multiLevelType w:val="multilevel"/>
    <w:tmpl w:val="5316F3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7DE7127"/>
    <w:multiLevelType w:val="multilevel"/>
    <w:tmpl w:val="EAB0F54A"/>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3" w15:restartNumberingAfterBreak="0">
    <w:nsid w:val="75657D27"/>
    <w:multiLevelType w:val="multilevel"/>
    <w:tmpl w:val="1BD89BC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763766B6"/>
    <w:multiLevelType w:val="hybridMultilevel"/>
    <w:tmpl w:val="59F44880"/>
    <w:lvl w:ilvl="0" w:tplc="C6BA8760">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C6E4DDB"/>
    <w:multiLevelType w:val="hybridMultilevel"/>
    <w:tmpl w:val="04022FEC"/>
    <w:lvl w:ilvl="0" w:tplc="C6BA8760">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D7C4A0A"/>
    <w:multiLevelType w:val="hybridMultilevel"/>
    <w:tmpl w:val="2CDA26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34419357">
    <w:abstractNumId w:val="12"/>
  </w:num>
  <w:num w:numId="2" w16cid:durableId="603148931">
    <w:abstractNumId w:val="12"/>
  </w:num>
  <w:num w:numId="3" w16cid:durableId="765686772">
    <w:abstractNumId w:val="12"/>
  </w:num>
  <w:num w:numId="4" w16cid:durableId="1699894671">
    <w:abstractNumId w:val="0"/>
  </w:num>
  <w:num w:numId="5" w16cid:durableId="159199086">
    <w:abstractNumId w:val="0"/>
  </w:num>
  <w:num w:numId="6" w16cid:durableId="2047900058">
    <w:abstractNumId w:val="0"/>
  </w:num>
  <w:num w:numId="7" w16cid:durableId="327832989">
    <w:abstractNumId w:val="0"/>
  </w:num>
  <w:num w:numId="8" w16cid:durableId="319191664">
    <w:abstractNumId w:val="0"/>
  </w:num>
  <w:num w:numId="9" w16cid:durableId="396709726">
    <w:abstractNumId w:val="0"/>
  </w:num>
  <w:num w:numId="10" w16cid:durableId="104809671">
    <w:abstractNumId w:val="12"/>
  </w:num>
  <w:num w:numId="11" w16cid:durableId="481847534">
    <w:abstractNumId w:val="12"/>
  </w:num>
  <w:num w:numId="12" w16cid:durableId="1455560373">
    <w:abstractNumId w:val="12"/>
  </w:num>
  <w:num w:numId="13" w16cid:durableId="1892493930">
    <w:abstractNumId w:val="0"/>
  </w:num>
  <w:num w:numId="14" w16cid:durableId="301888090">
    <w:abstractNumId w:val="0"/>
  </w:num>
  <w:num w:numId="15" w16cid:durableId="747000837">
    <w:abstractNumId w:val="0"/>
  </w:num>
  <w:num w:numId="16" w16cid:durableId="2037269265">
    <w:abstractNumId w:val="0"/>
  </w:num>
  <w:num w:numId="17" w16cid:durableId="1489983049">
    <w:abstractNumId w:val="0"/>
  </w:num>
  <w:num w:numId="18" w16cid:durableId="455678599">
    <w:abstractNumId w:val="0"/>
  </w:num>
  <w:num w:numId="19" w16cid:durableId="2078087073">
    <w:abstractNumId w:val="12"/>
  </w:num>
  <w:num w:numId="20" w16cid:durableId="1692293981">
    <w:abstractNumId w:val="12"/>
  </w:num>
  <w:num w:numId="21" w16cid:durableId="806053204">
    <w:abstractNumId w:val="12"/>
  </w:num>
  <w:num w:numId="22" w16cid:durableId="526067347">
    <w:abstractNumId w:val="0"/>
  </w:num>
  <w:num w:numId="23" w16cid:durableId="793913948">
    <w:abstractNumId w:val="0"/>
  </w:num>
  <w:num w:numId="24" w16cid:durableId="1559246742">
    <w:abstractNumId w:val="0"/>
  </w:num>
  <w:num w:numId="25" w16cid:durableId="1220826281">
    <w:abstractNumId w:val="0"/>
  </w:num>
  <w:num w:numId="26" w16cid:durableId="1682857470">
    <w:abstractNumId w:val="0"/>
  </w:num>
  <w:num w:numId="27" w16cid:durableId="771358859">
    <w:abstractNumId w:val="0"/>
  </w:num>
  <w:num w:numId="28" w16cid:durableId="1019703493">
    <w:abstractNumId w:val="1"/>
  </w:num>
  <w:num w:numId="29" w16cid:durableId="1926566705">
    <w:abstractNumId w:val="9"/>
  </w:num>
  <w:num w:numId="30" w16cid:durableId="328292537">
    <w:abstractNumId w:val="4"/>
  </w:num>
  <w:num w:numId="31" w16cid:durableId="13193877">
    <w:abstractNumId w:val="11"/>
  </w:num>
  <w:num w:numId="32" w16cid:durableId="492448589">
    <w:abstractNumId w:val="13"/>
  </w:num>
  <w:num w:numId="33" w16cid:durableId="1081294771">
    <w:abstractNumId w:val="16"/>
  </w:num>
  <w:num w:numId="34" w16cid:durableId="967050515">
    <w:abstractNumId w:val="2"/>
  </w:num>
  <w:num w:numId="35" w16cid:durableId="702823011">
    <w:abstractNumId w:val="5"/>
  </w:num>
  <w:num w:numId="36" w16cid:durableId="1584872025">
    <w:abstractNumId w:val="6"/>
  </w:num>
  <w:num w:numId="37" w16cid:durableId="310016256">
    <w:abstractNumId w:val="10"/>
  </w:num>
  <w:num w:numId="38" w16cid:durableId="447237783">
    <w:abstractNumId w:val="7"/>
  </w:num>
  <w:num w:numId="39" w16cid:durableId="676463722">
    <w:abstractNumId w:val="15"/>
  </w:num>
  <w:num w:numId="40" w16cid:durableId="666438917">
    <w:abstractNumId w:val="3"/>
  </w:num>
  <w:num w:numId="41" w16cid:durableId="1330867019">
    <w:abstractNumId w:val="14"/>
  </w:num>
  <w:num w:numId="42" w16cid:durableId="1848592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initials" w:val="NS"/>
    <w:docVar w:name="doc_subject" w:val="test"/>
  </w:docVars>
  <w:rsids>
    <w:rsidRoot w:val="00915BB5"/>
    <w:rsid w:val="00003E00"/>
    <w:rsid w:val="000042A8"/>
    <w:rsid w:val="0000657C"/>
    <w:rsid w:val="00012260"/>
    <w:rsid w:val="00033BBF"/>
    <w:rsid w:val="00042FBC"/>
    <w:rsid w:val="0004432D"/>
    <w:rsid w:val="00045E1D"/>
    <w:rsid w:val="00050B56"/>
    <w:rsid w:val="00054780"/>
    <w:rsid w:val="0006379B"/>
    <w:rsid w:val="00065F93"/>
    <w:rsid w:val="0007013E"/>
    <w:rsid w:val="000729FE"/>
    <w:rsid w:val="00094AA2"/>
    <w:rsid w:val="000A35C5"/>
    <w:rsid w:val="000A61DF"/>
    <w:rsid w:val="000B19AE"/>
    <w:rsid w:val="000B7F9A"/>
    <w:rsid w:val="000C14F6"/>
    <w:rsid w:val="000C60E1"/>
    <w:rsid w:val="000C73D0"/>
    <w:rsid w:val="000C7795"/>
    <w:rsid w:val="000D5A97"/>
    <w:rsid w:val="000E0BC8"/>
    <w:rsid w:val="00102966"/>
    <w:rsid w:val="00107310"/>
    <w:rsid w:val="00113AA9"/>
    <w:rsid w:val="00114DF1"/>
    <w:rsid w:val="00120179"/>
    <w:rsid w:val="00122CD2"/>
    <w:rsid w:val="0012357E"/>
    <w:rsid w:val="00124C96"/>
    <w:rsid w:val="00125994"/>
    <w:rsid w:val="00127624"/>
    <w:rsid w:val="0013169A"/>
    <w:rsid w:val="00136AF2"/>
    <w:rsid w:val="001377AC"/>
    <w:rsid w:val="001378B7"/>
    <w:rsid w:val="00140234"/>
    <w:rsid w:val="001440DC"/>
    <w:rsid w:val="0014469F"/>
    <w:rsid w:val="00145A2D"/>
    <w:rsid w:val="001471D6"/>
    <w:rsid w:val="00150413"/>
    <w:rsid w:val="0015341C"/>
    <w:rsid w:val="0015639D"/>
    <w:rsid w:val="001565DE"/>
    <w:rsid w:val="0015776A"/>
    <w:rsid w:val="00164B1E"/>
    <w:rsid w:val="001653C0"/>
    <w:rsid w:val="00167C77"/>
    <w:rsid w:val="00171486"/>
    <w:rsid w:val="00172421"/>
    <w:rsid w:val="001864BF"/>
    <w:rsid w:val="0018673A"/>
    <w:rsid w:val="00187416"/>
    <w:rsid w:val="00195517"/>
    <w:rsid w:val="0019601B"/>
    <w:rsid w:val="0019619C"/>
    <w:rsid w:val="001969E4"/>
    <w:rsid w:val="00196AD5"/>
    <w:rsid w:val="001A50E6"/>
    <w:rsid w:val="001A5B0A"/>
    <w:rsid w:val="001B1F5E"/>
    <w:rsid w:val="001B2AA7"/>
    <w:rsid w:val="001B48D6"/>
    <w:rsid w:val="001B5A29"/>
    <w:rsid w:val="001B6282"/>
    <w:rsid w:val="001B6716"/>
    <w:rsid w:val="001B68C6"/>
    <w:rsid w:val="001C0C67"/>
    <w:rsid w:val="001C249D"/>
    <w:rsid w:val="001D4449"/>
    <w:rsid w:val="001E56E0"/>
    <w:rsid w:val="001F162F"/>
    <w:rsid w:val="00201449"/>
    <w:rsid w:val="00201DB0"/>
    <w:rsid w:val="0021183C"/>
    <w:rsid w:val="0021607F"/>
    <w:rsid w:val="00217811"/>
    <w:rsid w:val="00222BB2"/>
    <w:rsid w:val="002300F8"/>
    <w:rsid w:val="00243750"/>
    <w:rsid w:val="002443FE"/>
    <w:rsid w:val="002447ED"/>
    <w:rsid w:val="002536CC"/>
    <w:rsid w:val="00270E7D"/>
    <w:rsid w:val="00271113"/>
    <w:rsid w:val="00276248"/>
    <w:rsid w:val="00283921"/>
    <w:rsid w:val="00293186"/>
    <w:rsid w:val="00296961"/>
    <w:rsid w:val="002A5E44"/>
    <w:rsid w:val="002B13A4"/>
    <w:rsid w:val="002B17A1"/>
    <w:rsid w:val="002B2855"/>
    <w:rsid w:val="002B495F"/>
    <w:rsid w:val="002B5456"/>
    <w:rsid w:val="002C143D"/>
    <w:rsid w:val="002C1575"/>
    <w:rsid w:val="002C6128"/>
    <w:rsid w:val="002C6731"/>
    <w:rsid w:val="002D0277"/>
    <w:rsid w:val="002D0870"/>
    <w:rsid w:val="002D450E"/>
    <w:rsid w:val="002D6137"/>
    <w:rsid w:val="002E2ECE"/>
    <w:rsid w:val="002E45E8"/>
    <w:rsid w:val="002E4C93"/>
    <w:rsid w:val="002E5B06"/>
    <w:rsid w:val="002E74C3"/>
    <w:rsid w:val="002F0311"/>
    <w:rsid w:val="002F0EEC"/>
    <w:rsid w:val="002F296A"/>
    <w:rsid w:val="002F6C4E"/>
    <w:rsid w:val="00301C83"/>
    <w:rsid w:val="00311B64"/>
    <w:rsid w:val="003205B1"/>
    <w:rsid w:val="003236B2"/>
    <w:rsid w:val="00323743"/>
    <w:rsid w:val="00324676"/>
    <w:rsid w:val="00324D3E"/>
    <w:rsid w:val="00325993"/>
    <w:rsid w:val="00332090"/>
    <w:rsid w:val="00332427"/>
    <w:rsid w:val="00335E31"/>
    <w:rsid w:val="00340F3D"/>
    <w:rsid w:val="003542D5"/>
    <w:rsid w:val="00356F8F"/>
    <w:rsid w:val="003605B5"/>
    <w:rsid w:val="0036252A"/>
    <w:rsid w:val="00366644"/>
    <w:rsid w:val="003668D6"/>
    <w:rsid w:val="00370FB6"/>
    <w:rsid w:val="00374BD2"/>
    <w:rsid w:val="00382293"/>
    <w:rsid w:val="0038296A"/>
    <w:rsid w:val="00382BBC"/>
    <w:rsid w:val="00387829"/>
    <w:rsid w:val="00387FB1"/>
    <w:rsid w:val="003929F2"/>
    <w:rsid w:val="003942B1"/>
    <w:rsid w:val="0039761A"/>
    <w:rsid w:val="003A00AB"/>
    <w:rsid w:val="003A01AC"/>
    <w:rsid w:val="003A397D"/>
    <w:rsid w:val="003A66B1"/>
    <w:rsid w:val="003B0144"/>
    <w:rsid w:val="003B3BF8"/>
    <w:rsid w:val="003B715A"/>
    <w:rsid w:val="003B7A33"/>
    <w:rsid w:val="003D0BC2"/>
    <w:rsid w:val="003D7E63"/>
    <w:rsid w:val="003E1C7C"/>
    <w:rsid w:val="003E46BF"/>
    <w:rsid w:val="003E4A80"/>
    <w:rsid w:val="003E563C"/>
    <w:rsid w:val="003E73D7"/>
    <w:rsid w:val="003F4D40"/>
    <w:rsid w:val="00400403"/>
    <w:rsid w:val="00400A9B"/>
    <w:rsid w:val="0040116E"/>
    <w:rsid w:val="004016EF"/>
    <w:rsid w:val="004149BF"/>
    <w:rsid w:val="00416FB1"/>
    <w:rsid w:val="004234F5"/>
    <w:rsid w:val="0042553C"/>
    <w:rsid w:val="004257FC"/>
    <w:rsid w:val="0043149A"/>
    <w:rsid w:val="00435577"/>
    <w:rsid w:val="00435FC5"/>
    <w:rsid w:val="004441FB"/>
    <w:rsid w:val="00444A53"/>
    <w:rsid w:val="00447951"/>
    <w:rsid w:val="00450CFA"/>
    <w:rsid w:val="00456927"/>
    <w:rsid w:val="004649AB"/>
    <w:rsid w:val="00464C8E"/>
    <w:rsid w:val="00466752"/>
    <w:rsid w:val="0047141A"/>
    <w:rsid w:val="0047195E"/>
    <w:rsid w:val="00473F28"/>
    <w:rsid w:val="00480645"/>
    <w:rsid w:val="00485062"/>
    <w:rsid w:val="00490E47"/>
    <w:rsid w:val="00492946"/>
    <w:rsid w:val="004945EE"/>
    <w:rsid w:val="00496055"/>
    <w:rsid w:val="00497090"/>
    <w:rsid w:val="00497AA4"/>
    <w:rsid w:val="004A02F9"/>
    <w:rsid w:val="004A0FA9"/>
    <w:rsid w:val="004A67C3"/>
    <w:rsid w:val="004B7277"/>
    <w:rsid w:val="004B76C0"/>
    <w:rsid w:val="004B7899"/>
    <w:rsid w:val="004C1ABC"/>
    <w:rsid w:val="004C1F9A"/>
    <w:rsid w:val="004C3E05"/>
    <w:rsid w:val="004D477A"/>
    <w:rsid w:val="004D7C1D"/>
    <w:rsid w:val="004E2020"/>
    <w:rsid w:val="004F3963"/>
    <w:rsid w:val="004F6DDF"/>
    <w:rsid w:val="00502BFD"/>
    <w:rsid w:val="00504513"/>
    <w:rsid w:val="00506F9D"/>
    <w:rsid w:val="00517A5D"/>
    <w:rsid w:val="00525669"/>
    <w:rsid w:val="00526CD0"/>
    <w:rsid w:val="0053125F"/>
    <w:rsid w:val="00543C8D"/>
    <w:rsid w:val="005509F2"/>
    <w:rsid w:val="005562A5"/>
    <w:rsid w:val="00571E3C"/>
    <w:rsid w:val="0057403F"/>
    <w:rsid w:val="005767F0"/>
    <w:rsid w:val="005770F4"/>
    <w:rsid w:val="00581C06"/>
    <w:rsid w:val="00583148"/>
    <w:rsid w:val="0059032A"/>
    <w:rsid w:val="00590A22"/>
    <w:rsid w:val="00596FDC"/>
    <w:rsid w:val="005A2DD2"/>
    <w:rsid w:val="005A51AE"/>
    <w:rsid w:val="005B74C5"/>
    <w:rsid w:val="005C0FAE"/>
    <w:rsid w:val="005D0FC9"/>
    <w:rsid w:val="005D1B70"/>
    <w:rsid w:val="005D3A10"/>
    <w:rsid w:val="005E0DAE"/>
    <w:rsid w:val="005E0DC9"/>
    <w:rsid w:val="005E213C"/>
    <w:rsid w:val="005E6DD5"/>
    <w:rsid w:val="005E6E00"/>
    <w:rsid w:val="005F1B1B"/>
    <w:rsid w:val="00604239"/>
    <w:rsid w:val="0060473B"/>
    <w:rsid w:val="006073B6"/>
    <w:rsid w:val="006126C4"/>
    <w:rsid w:val="00612E13"/>
    <w:rsid w:val="006138DC"/>
    <w:rsid w:val="00613F15"/>
    <w:rsid w:val="00620720"/>
    <w:rsid w:val="00622D58"/>
    <w:rsid w:val="00630A30"/>
    <w:rsid w:val="00633DBF"/>
    <w:rsid w:val="00634D63"/>
    <w:rsid w:val="00634DEB"/>
    <w:rsid w:val="0064154E"/>
    <w:rsid w:val="00642D24"/>
    <w:rsid w:val="006431E8"/>
    <w:rsid w:val="00643425"/>
    <w:rsid w:val="0064527E"/>
    <w:rsid w:val="006459F9"/>
    <w:rsid w:val="00650072"/>
    <w:rsid w:val="00651D18"/>
    <w:rsid w:val="0065734E"/>
    <w:rsid w:val="006621E1"/>
    <w:rsid w:val="00663D2F"/>
    <w:rsid w:val="00671921"/>
    <w:rsid w:val="0067591F"/>
    <w:rsid w:val="00680BD4"/>
    <w:rsid w:val="00684606"/>
    <w:rsid w:val="006858D4"/>
    <w:rsid w:val="006A1602"/>
    <w:rsid w:val="006A2D16"/>
    <w:rsid w:val="006A4D06"/>
    <w:rsid w:val="006B5DD3"/>
    <w:rsid w:val="006C40C1"/>
    <w:rsid w:val="006C4968"/>
    <w:rsid w:val="006C5783"/>
    <w:rsid w:val="006C6D18"/>
    <w:rsid w:val="006D4225"/>
    <w:rsid w:val="006E15F0"/>
    <w:rsid w:val="006E2EC6"/>
    <w:rsid w:val="006E3993"/>
    <w:rsid w:val="006E6698"/>
    <w:rsid w:val="006F1255"/>
    <w:rsid w:val="006F260E"/>
    <w:rsid w:val="006F7C76"/>
    <w:rsid w:val="0070575B"/>
    <w:rsid w:val="00705F08"/>
    <w:rsid w:val="00712928"/>
    <w:rsid w:val="00720736"/>
    <w:rsid w:val="0072314F"/>
    <w:rsid w:val="0072563D"/>
    <w:rsid w:val="007320BE"/>
    <w:rsid w:val="00732562"/>
    <w:rsid w:val="00732FA3"/>
    <w:rsid w:val="007457D3"/>
    <w:rsid w:val="007467DD"/>
    <w:rsid w:val="00747122"/>
    <w:rsid w:val="00747533"/>
    <w:rsid w:val="00752B8B"/>
    <w:rsid w:val="007536AB"/>
    <w:rsid w:val="00754F66"/>
    <w:rsid w:val="00755296"/>
    <w:rsid w:val="00755988"/>
    <w:rsid w:val="00756E4A"/>
    <w:rsid w:val="00763F91"/>
    <w:rsid w:val="00770265"/>
    <w:rsid w:val="0078054F"/>
    <w:rsid w:val="007807FC"/>
    <w:rsid w:val="00782B50"/>
    <w:rsid w:val="00784FE3"/>
    <w:rsid w:val="00787CC3"/>
    <w:rsid w:val="007949C0"/>
    <w:rsid w:val="007A20AE"/>
    <w:rsid w:val="007A451D"/>
    <w:rsid w:val="007A4E7E"/>
    <w:rsid w:val="007A6B96"/>
    <w:rsid w:val="007B523A"/>
    <w:rsid w:val="007C1617"/>
    <w:rsid w:val="007C37CE"/>
    <w:rsid w:val="007C51D5"/>
    <w:rsid w:val="007C5B17"/>
    <w:rsid w:val="007D4E58"/>
    <w:rsid w:val="007E0260"/>
    <w:rsid w:val="007E5795"/>
    <w:rsid w:val="007F147E"/>
    <w:rsid w:val="007F1793"/>
    <w:rsid w:val="00815645"/>
    <w:rsid w:val="00821E09"/>
    <w:rsid w:val="008229D0"/>
    <w:rsid w:val="00824AA3"/>
    <w:rsid w:val="008250B0"/>
    <w:rsid w:val="00833678"/>
    <w:rsid w:val="00835267"/>
    <w:rsid w:val="00837547"/>
    <w:rsid w:val="00842CCD"/>
    <w:rsid w:val="00843384"/>
    <w:rsid w:val="00844D85"/>
    <w:rsid w:val="0084627C"/>
    <w:rsid w:val="0085191F"/>
    <w:rsid w:val="00854656"/>
    <w:rsid w:val="00862F02"/>
    <w:rsid w:val="00865BCF"/>
    <w:rsid w:val="00867E01"/>
    <w:rsid w:val="0087269C"/>
    <w:rsid w:val="00872E0D"/>
    <w:rsid w:val="00874799"/>
    <w:rsid w:val="0087542B"/>
    <w:rsid w:val="00875865"/>
    <w:rsid w:val="00876341"/>
    <w:rsid w:val="0087676C"/>
    <w:rsid w:val="008868F9"/>
    <w:rsid w:val="008973E0"/>
    <w:rsid w:val="008974EC"/>
    <w:rsid w:val="008977A7"/>
    <w:rsid w:val="008B29AD"/>
    <w:rsid w:val="008B3D37"/>
    <w:rsid w:val="008B5A63"/>
    <w:rsid w:val="008B7B2C"/>
    <w:rsid w:val="008C5073"/>
    <w:rsid w:val="008D0BB6"/>
    <w:rsid w:val="008D1CE5"/>
    <w:rsid w:val="008D297A"/>
    <w:rsid w:val="008D2D11"/>
    <w:rsid w:val="008D547D"/>
    <w:rsid w:val="008D56CE"/>
    <w:rsid w:val="008D7A49"/>
    <w:rsid w:val="008E1FBF"/>
    <w:rsid w:val="008E3AA0"/>
    <w:rsid w:val="008F05A3"/>
    <w:rsid w:val="008F09C9"/>
    <w:rsid w:val="008F4ACB"/>
    <w:rsid w:val="008F68FC"/>
    <w:rsid w:val="009020FF"/>
    <w:rsid w:val="00902113"/>
    <w:rsid w:val="00911881"/>
    <w:rsid w:val="00911A93"/>
    <w:rsid w:val="00912B07"/>
    <w:rsid w:val="00915BB5"/>
    <w:rsid w:val="009218AD"/>
    <w:rsid w:val="0092716B"/>
    <w:rsid w:val="00944A17"/>
    <w:rsid w:val="009510DB"/>
    <w:rsid w:val="00953E85"/>
    <w:rsid w:val="00955092"/>
    <w:rsid w:val="0096675A"/>
    <w:rsid w:val="0097122E"/>
    <w:rsid w:val="009713A5"/>
    <w:rsid w:val="00972F82"/>
    <w:rsid w:val="00987AF6"/>
    <w:rsid w:val="009924FC"/>
    <w:rsid w:val="00997DE7"/>
    <w:rsid w:val="009A1AE6"/>
    <w:rsid w:val="009A44BA"/>
    <w:rsid w:val="009B3EC8"/>
    <w:rsid w:val="009C38EC"/>
    <w:rsid w:val="009C5A0D"/>
    <w:rsid w:val="009C6DD4"/>
    <w:rsid w:val="009C762E"/>
    <w:rsid w:val="009C7EDE"/>
    <w:rsid w:val="009D0B21"/>
    <w:rsid w:val="009D0CD2"/>
    <w:rsid w:val="009D13D7"/>
    <w:rsid w:val="009D284D"/>
    <w:rsid w:val="009E22C7"/>
    <w:rsid w:val="009E484D"/>
    <w:rsid w:val="009F5B6E"/>
    <w:rsid w:val="009F6819"/>
    <w:rsid w:val="00A0058C"/>
    <w:rsid w:val="00A02359"/>
    <w:rsid w:val="00A02A7A"/>
    <w:rsid w:val="00A11D81"/>
    <w:rsid w:val="00A13711"/>
    <w:rsid w:val="00A22383"/>
    <w:rsid w:val="00A2302E"/>
    <w:rsid w:val="00A262D8"/>
    <w:rsid w:val="00A313E0"/>
    <w:rsid w:val="00A332AF"/>
    <w:rsid w:val="00A35A4E"/>
    <w:rsid w:val="00A374FE"/>
    <w:rsid w:val="00A4286C"/>
    <w:rsid w:val="00A44577"/>
    <w:rsid w:val="00A44C59"/>
    <w:rsid w:val="00A47912"/>
    <w:rsid w:val="00A508B5"/>
    <w:rsid w:val="00A531BB"/>
    <w:rsid w:val="00A535B3"/>
    <w:rsid w:val="00A53BC8"/>
    <w:rsid w:val="00A54EE2"/>
    <w:rsid w:val="00A572FD"/>
    <w:rsid w:val="00A57992"/>
    <w:rsid w:val="00A60B6C"/>
    <w:rsid w:val="00A61E8D"/>
    <w:rsid w:val="00A631A2"/>
    <w:rsid w:val="00A6586A"/>
    <w:rsid w:val="00A74C4F"/>
    <w:rsid w:val="00A757F3"/>
    <w:rsid w:val="00A83F77"/>
    <w:rsid w:val="00A9107D"/>
    <w:rsid w:val="00A979F0"/>
    <w:rsid w:val="00AA14CC"/>
    <w:rsid w:val="00AA3E8E"/>
    <w:rsid w:val="00AB16B2"/>
    <w:rsid w:val="00AB2134"/>
    <w:rsid w:val="00AC117C"/>
    <w:rsid w:val="00AC4BCB"/>
    <w:rsid w:val="00AD15DB"/>
    <w:rsid w:val="00AE0655"/>
    <w:rsid w:val="00AE2FA6"/>
    <w:rsid w:val="00AE404D"/>
    <w:rsid w:val="00B0169B"/>
    <w:rsid w:val="00B05645"/>
    <w:rsid w:val="00B23B14"/>
    <w:rsid w:val="00B2528A"/>
    <w:rsid w:val="00B255FC"/>
    <w:rsid w:val="00B3559E"/>
    <w:rsid w:val="00B4021A"/>
    <w:rsid w:val="00B4727C"/>
    <w:rsid w:val="00B504E8"/>
    <w:rsid w:val="00B50BAF"/>
    <w:rsid w:val="00B526C2"/>
    <w:rsid w:val="00B52E90"/>
    <w:rsid w:val="00B52EA5"/>
    <w:rsid w:val="00B559B4"/>
    <w:rsid w:val="00B61B17"/>
    <w:rsid w:val="00B62788"/>
    <w:rsid w:val="00B74EDA"/>
    <w:rsid w:val="00B76CBC"/>
    <w:rsid w:val="00B77282"/>
    <w:rsid w:val="00B773D1"/>
    <w:rsid w:val="00B80A7B"/>
    <w:rsid w:val="00B81D14"/>
    <w:rsid w:val="00B96F51"/>
    <w:rsid w:val="00B97922"/>
    <w:rsid w:val="00B97A4B"/>
    <w:rsid w:val="00BA09CB"/>
    <w:rsid w:val="00BA1AB7"/>
    <w:rsid w:val="00BA2EB9"/>
    <w:rsid w:val="00BB6DE2"/>
    <w:rsid w:val="00BB7098"/>
    <w:rsid w:val="00BC2C3B"/>
    <w:rsid w:val="00BC40CC"/>
    <w:rsid w:val="00BC4A4A"/>
    <w:rsid w:val="00BD4261"/>
    <w:rsid w:val="00BD5439"/>
    <w:rsid w:val="00BD5809"/>
    <w:rsid w:val="00BD5EFB"/>
    <w:rsid w:val="00BD67B9"/>
    <w:rsid w:val="00BE0EDC"/>
    <w:rsid w:val="00BF3DC6"/>
    <w:rsid w:val="00BF66B3"/>
    <w:rsid w:val="00C066B3"/>
    <w:rsid w:val="00C10EBC"/>
    <w:rsid w:val="00C11FC4"/>
    <w:rsid w:val="00C13495"/>
    <w:rsid w:val="00C14800"/>
    <w:rsid w:val="00C15B78"/>
    <w:rsid w:val="00C2044B"/>
    <w:rsid w:val="00C368DE"/>
    <w:rsid w:val="00C41C25"/>
    <w:rsid w:val="00C43624"/>
    <w:rsid w:val="00C4441D"/>
    <w:rsid w:val="00C51B61"/>
    <w:rsid w:val="00C52825"/>
    <w:rsid w:val="00C56EB0"/>
    <w:rsid w:val="00C62B87"/>
    <w:rsid w:val="00C65C31"/>
    <w:rsid w:val="00C71962"/>
    <w:rsid w:val="00C8022B"/>
    <w:rsid w:val="00C87DD1"/>
    <w:rsid w:val="00C93B82"/>
    <w:rsid w:val="00C93D4D"/>
    <w:rsid w:val="00CA2247"/>
    <w:rsid w:val="00CA4B80"/>
    <w:rsid w:val="00CA55F7"/>
    <w:rsid w:val="00CA6BF2"/>
    <w:rsid w:val="00CA6F45"/>
    <w:rsid w:val="00CB36B5"/>
    <w:rsid w:val="00CB3DDB"/>
    <w:rsid w:val="00CB469E"/>
    <w:rsid w:val="00CB623F"/>
    <w:rsid w:val="00CC23DE"/>
    <w:rsid w:val="00CC2E74"/>
    <w:rsid w:val="00CC529E"/>
    <w:rsid w:val="00CD04F3"/>
    <w:rsid w:val="00CD4186"/>
    <w:rsid w:val="00CD52C3"/>
    <w:rsid w:val="00CE107E"/>
    <w:rsid w:val="00CE433B"/>
    <w:rsid w:val="00CE6F3C"/>
    <w:rsid w:val="00CF3588"/>
    <w:rsid w:val="00CF7598"/>
    <w:rsid w:val="00D02B00"/>
    <w:rsid w:val="00D06624"/>
    <w:rsid w:val="00D1602B"/>
    <w:rsid w:val="00D16AE0"/>
    <w:rsid w:val="00D3383F"/>
    <w:rsid w:val="00D44478"/>
    <w:rsid w:val="00D45AA4"/>
    <w:rsid w:val="00D5158F"/>
    <w:rsid w:val="00D52DF4"/>
    <w:rsid w:val="00D5407F"/>
    <w:rsid w:val="00D55877"/>
    <w:rsid w:val="00D560A0"/>
    <w:rsid w:val="00D6429B"/>
    <w:rsid w:val="00D81F1E"/>
    <w:rsid w:val="00D825F7"/>
    <w:rsid w:val="00D87DC8"/>
    <w:rsid w:val="00D90405"/>
    <w:rsid w:val="00D9723F"/>
    <w:rsid w:val="00DA04A5"/>
    <w:rsid w:val="00DA06D4"/>
    <w:rsid w:val="00DA309A"/>
    <w:rsid w:val="00DA3B94"/>
    <w:rsid w:val="00DA55AB"/>
    <w:rsid w:val="00DB0170"/>
    <w:rsid w:val="00DB1D64"/>
    <w:rsid w:val="00DB218E"/>
    <w:rsid w:val="00DB3D9B"/>
    <w:rsid w:val="00DB728C"/>
    <w:rsid w:val="00DC188B"/>
    <w:rsid w:val="00DC1DC3"/>
    <w:rsid w:val="00DC2006"/>
    <w:rsid w:val="00DC3D5F"/>
    <w:rsid w:val="00DC6DA5"/>
    <w:rsid w:val="00DD2E80"/>
    <w:rsid w:val="00DD3DDC"/>
    <w:rsid w:val="00DE367A"/>
    <w:rsid w:val="00DE6A99"/>
    <w:rsid w:val="00DE7AC4"/>
    <w:rsid w:val="00DF7E64"/>
    <w:rsid w:val="00E026BF"/>
    <w:rsid w:val="00E03BA3"/>
    <w:rsid w:val="00E04BE1"/>
    <w:rsid w:val="00E04F3D"/>
    <w:rsid w:val="00E0684B"/>
    <w:rsid w:val="00E205F6"/>
    <w:rsid w:val="00E2463E"/>
    <w:rsid w:val="00E25087"/>
    <w:rsid w:val="00E25E9F"/>
    <w:rsid w:val="00E3260F"/>
    <w:rsid w:val="00E35057"/>
    <w:rsid w:val="00E41164"/>
    <w:rsid w:val="00E46993"/>
    <w:rsid w:val="00E47F9C"/>
    <w:rsid w:val="00E507BA"/>
    <w:rsid w:val="00E525E5"/>
    <w:rsid w:val="00E71A2A"/>
    <w:rsid w:val="00E75C47"/>
    <w:rsid w:val="00E8677F"/>
    <w:rsid w:val="00E86C58"/>
    <w:rsid w:val="00E913BD"/>
    <w:rsid w:val="00E959D9"/>
    <w:rsid w:val="00E97A74"/>
    <w:rsid w:val="00EA433C"/>
    <w:rsid w:val="00EA71C7"/>
    <w:rsid w:val="00EB10A4"/>
    <w:rsid w:val="00EB1498"/>
    <w:rsid w:val="00EB1B69"/>
    <w:rsid w:val="00EB3A04"/>
    <w:rsid w:val="00EC14EB"/>
    <w:rsid w:val="00EC1D23"/>
    <w:rsid w:val="00EC1E55"/>
    <w:rsid w:val="00EC1E97"/>
    <w:rsid w:val="00EC22CE"/>
    <w:rsid w:val="00EC58C3"/>
    <w:rsid w:val="00ED09EE"/>
    <w:rsid w:val="00ED0FB5"/>
    <w:rsid w:val="00ED4FA7"/>
    <w:rsid w:val="00EE0592"/>
    <w:rsid w:val="00EE0A44"/>
    <w:rsid w:val="00EE111B"/>
    <w:rsid w:val="00EE18C8"/>
    <w:rsid w:val="00EE281D"/>
    <w:rsid w:val="00EE32F9"/>
    <w:rsid w:val="00EF6954"/>
    <w:rsid w:val="00F0258A"/>
    <w:rsid w:val="00F027F5"/>
    <w:rsid w:val="00F0292D"/>
    <w:rsid w:val="00F03477"/>
    <w:rsid w:val="00F041A4"/>
    <w:rsid w:val="00F067DA"/>
    <w:rsid w:val="00F13F2E"/>
    <w:rsid w:val="00F15D70"/>
    <w:rsid w:val="00F17CCE"/>
    <w:rsid w:val="00F261FA"/>
    <w:rsid w:val="00F2707B"/>
    <w:rsid w:val="00F32844"/>
    <w:rsid w:val="00F3444B"/>
    <w:rsid w:val="00F37363"/>
    <w:rsid w:val="00F44EC1"/>
    <w:rsid w:val="00F46B57"/>
    <w:rsid w:val="00F548CE"/>
    <w:rsid w:val="00F55332"/>
    <w:rsid w:val="00F604CB"/>
    <w:rsid w:val="00F64218"/>
    <w:rsid w:val="00F70611"/>
    <w:rsid w:val="00F74F07"/>
    <w:rsid w:val="00F82E1E"/>
    <w:rsid w:val="00F83A15"/>
    <w:rsid w:val="00F85E5B"/>
    <w:rsid w:val="00F874E2"/>
    <w:rsid w:val="00F90E52"/>
    <w:rsid w:val="00F9340E"/>
    <w:rsid w:val="00F957B1"/>
    <w:rsid w:val="00F961D6"/>
    <w:rsid w:val="00F975BD"/>
    <w:rsid w:val="00F97CEE"/>
    <w:rsid w:val="00FA058E"/>
    <w:rsid w:val="00FA3617"/>
    <w:rsid w:val="00FA722B"/>
    <w:rsid w:val="00FA737C"/>
    <w:rsid w:val="00FB0B61"/>
    <w:rsid w:val="00FB1791"/>
    <w:rsid w:val="00FB49F5"/>
    <w:rsid w:val="00FB7B48"/>
    <w:rsid w:val="00FC3238"/>
    <w:rsid w:val="00FF21AC"/>
    <w:rsid w:val="00FF2B17"/>
    <w:rsid w:val="00FF564E"/>
    <w:rsid w:val="00FF7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B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617"/>
    <w:pPr>
      <w:spacing w:after="0" w:line="280" w:lineRule="atLeast"/>
      <w:ind w:firstLine="0"/>
    </w:pPr>
    <w:rPr>
      <w:rFonts w:ascii="Verdana" w:eastAsia="Times New Roman" w:hAnsi="Verdana" w:cs="Times New Roman"/>
      <w:sz w:val="18"/>
    </w:rPr>
  </w:style>
  <w:style w:type="paragraph" w:styleId="berschrift1">
    <w:name w:val="heading 1"/>
    <w:basedOn w:val="Standard"/>
    <w:next w:val="Standard"/>
    <w:link w:val="berschrift1Zchn"/>
    <w:uiPriority w:val="9"/>
    <w:qFormat/>
    <w:rsid w:val="00F041A4"/>
    <w:pPr>
      <w:widowControl w:val="0"/>
      <w:numPr>
        <w:numId w:val="32"/>
      </w:numPr>
      <w:autoSpaceDE w:val="0"/>
      <w:autoSpaceDN w:val="0"/>
      <w:spacing w:before="82" w:line="240" w:lineRule="auto"/>
      <w:outlineLvl w:val="0"/>
    </w:pPr>
    <w:rPr>
      <w:rFonts w:eastAsia="Klavika Lt" w:cs="Klavika Lt"/>
      <w:color w:val="F08050"/>
      <w:sz w:val="28"/>
      <w:szCs w:val="28"/>
      <w:lang w:eastAsia="en-US"/>
    </w:rPr>
  </w:style>
  <w:style w:type="paragraph" w:styleId="berschrift2">
    <w:name w:val="heading 2"/>
    <w:basedOn w:val="Standard"/>
    <w:next w:val="Standard"/>
    <w:link w:val="berschrift2Zchn"/>
    <w:uiPriority w:val="9"/>
    <w:qFormat/>
    <w:rsid w:val="00F041A4"/>
    <w:pPr>
      <w:keepNext/>
      <w:keepLines/>
      <w:widowControl w:val="0"/>
      <w:numPr>
        <w:ilvl w:val="1"/>
        <w:numId w:val="32"/>
      </w:numPr>
      <w:autoSpaceDE w:val="0"/>
      <w:autoSpaceDN w:val="0"/>
      <w:spacing w:before="40" w:line="240" w:lineRule="auto"/>
      <w:ind w:left="1080" w:hanging="720"/>
      <w:jc w:val="both"/>
      <w:outlineLvl w:val="1"/>
    </w:pPr>
    <w:rPr>
      <w:rFonts w:eastAsiaTheme="majorEastAsia" w:cstheme="majorBidi"/>
      <w:color w:val="F08050"/>
      <w:sz w:val="26"/>
      <w:szCs w:val="26"/>
      <w:lang w:eastAsia="en-US"/>
    </w:rPr>
  </w:style>
  <w:style w:type="paragraph" w:styleId="berschrift3">
    <w:name w:val="heading 3"/>
    <w:basedOn w:val="Standard"/>
    <w:next w:val="Standard"/>
    <w:link w:val="berschrift3Zchn"/>
    <w:qFormat/>
    <w:rsid w:val="00FA3617"/>
    <w:pPr>
      <w:keepNext/>
      <w:numPr>
        <w:ilvl w:val="2"/>
        <w:numId w:val="32"/>
      </w:numPr>
      <w:outlineLvl w:val="2"/>
    </w:pPr>
    <w:rPr>
      <w:rFonts w:cs="Arial"/>
      <w:b/>
      <w:bCs/>
      <w:szCs w:val="18"/>
    </w:rPr>
  </w:style>
  <w:style w:type="paragraph" w:styleId="berschrift4">
    <w:name w:val="heading 4"/>
    <w:basedOn w:val="Standard"/>
    <w:next w:val="Standard"/>
    <w:link w:val="berschrift4Zchn"/>
    <w:qFormat/>
    <w:rsid w:val="00FA3617"/>
    <w:pPr>
      <w:keepNext/>
      <w:numPr>
        <w:ilvl w:val="3"/>
        <w:numId w:val="32"/>
      </w:numPr>
      <w:tabs>
        <w:tab w:val="left" w:pos="1418"/>
      </w:tabs>
      <w:outlineLvl w:val="3"/>
    </w:pPr>
    <w:rPr>
      <w:b/>
      <w:bCs/>
      <w:szCs w:val="18"/>
    </w:rPr>
  </w:style>
  <w:style w:type="paragraph" w:styleId="berschrift5">
    <w:name w:val="heading 5"/>
    <w:basedOn w:val="Standard"/>
    <w:next w:val="Standard"/>
    <w:link w:val="berschrift5Zchn"/>
    <w:qFormat/>
    <w:rsid w:val="00FA3617"/>
    <w:pPr>
      <w:numPr>
        <w:ilvl w:val="4"/>
        <w:numId w:val="32"/>
      </w:numPr>
      <w:tabs>
        <w:tab w:val="left" w:pos="1418"/>
      </w:tabs>
      <w:outlineLvl w:val="4"/>
    </w:pPr>
    <w:rPr>
      <w:bCs/>
      <w:iCs/>
      <w:szCs w:val="18"/>
    </w:rPr>
  </w:style>
  <w:style w:type="paragraph" w:styleId="berschrift6">
    <w:name w:val="heading 6"/>
    <w:basedOn w:val="Standard"/>
    <w:next w:val="Standard"/>
    <w:link w:val="berschrift6Zchn"/>
    <w:qFormat/>
    <w:rsid w:val="00FA3617"/>
    <w:pPr>
      <w:numPr>
        <w:ilvl w:val="5"/>
        <w:numId w:val="32"/>
      </w:numPr>
      <w:outlineLvl w:val="5"/>
    </w:pPr>
    <w:rPr>
      <w:bCs/>
      <w:szCs w:val="18"/>
    </w:rPr>
  </w:style>
  <w:style w:type="paragraph" w:styleId="berschrift7">
    <w:name w:val="heading 7"/>
    <w:basedOn w:val="Standard"/>
    <w:next w:val="Standard"/>
    <w:link w:val="berschrift7Zchn"/>
    <w:qFormat/>
    <w:rsid w:val="00FA3617"/>
    <w:pPr>
      <w:numPr>
        <w:ilvl w:val="6"/>
        <w:numId w:val="32"/>
      </w:numPr>
      <w:outlineLvl w:val="6"/>
    </w:pPr>
    <w:rPr>
      <w:szCs w:val="18"/>
    </w:rPr>
  </w:style>
  <w:style w:type="paragraph" w:styleId="berschrift8">
    <w:name w:val="heading 8"/>
    <w:basedOn w:val="Standard"/>
    <w:next w:val="Standard"/>
    <w:link w:val="berschrift8Zchn"/>
    <w:qFormat/>
    <w:rsid w:val="00FA3617"/>
    <w:pPr>
      <w:numPr>
        <w:ilvl w:val="7"/>
        <w:numId w:val="32"/>
      </w:numPr>
      <w:outlineLvl w:val="7"/>
    </w:pPr>
    <w:rPr>
      <w:iCs/>
      <w:szCs w:val="18"/>
    </w:rPr>
  </w:style>
  <w:style w:type="paragraph" w:styleId="berschrift9">
    <w:name w:val="heading 9"/>
    <w:basedOn w:val="Standard"/>
    <w:next w:val="Standard"/>
    <w:link w:val="berschrift9Zchn"/>
    <w:qFormat/>
    <w:rsid w:val="00FA3617"/>
    <w:pPr>
      <w:numPr>
        <w:ilvl w:val="8"/>
        <w:numId w:val="32"/>
      </w:numPr>
      <w:outlineLvl w:val="8"/>
    </w:pPr>
    <w:rPr>
      <w:rFonts w:cs="Arial"/>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14F6"/>
    <w:rPr>
      <w:b/>
      <w:bCs/>
    </w:rPr>
  </w:style>
  <w:style w:type="character" w:customStyle="1" w:styleId="berschrift1Zchn">
    <w:name w:val="Überschrift 1 Zchn"/>
    <w:basedOn w:val="Absatz-Standardschriftart"/>
    <w:link w:val="berschrift1"/>
    <w:uiPriority w:val="9"/>
    <w:rsid w:val="00F041A4"/>
    <w:rPr>
      <w:rFonts w:ascii="Verdana" w:eastAsia="Klavika Lt" w:hAnsi="Verdana" w:cs="Klavika Lt"/>
      <w:color w:val="F08050"/>
      <w:sz w:val="28"/>
      <w:szCs w:val="28"/>
      <w:lang w:eastAsia="en-US"/>
    </w:rPr>
  </w:style>
  <w:style w:type="character" w:customStyle="1" w:styleId="berschrift2Zchn">
    <w:name w:val="Überschrift 2 Zchn"/>
    <w:basedOn w:val="Absatz-Standardschriftart"/>
    <w:link w:val="berschrift2"/>
    <w:uiPriority w:val="9"/>
    <w:rsid w:val="00F041A4"/>
    <w:rPr>
      <w:rFonts w:ascii="Verdana" w:eastAsiaTheme="majorEastAsia" w:hAnsi="Verdana" w:cstheme="majorBidi"/>
      <w:color w:val="F08050"/>
      <w:sz w:val="26"/>
      <w:szCs w:val="26"/>
      <w:lang w:eastAsia="en-US"/>
    </w:rPr>
  </w:style>
  <w:style w:type="character" w:customStyle="1" w:styleId="berschrift3Zchn">
    <w:name w:val="Überschrift 3 Zchn"/>
    <w:basedOn w:val="Absatz-Standardschriftart"/>
    <w:link w:val="berschrift3"/>
    <w:rsid w:val="00F0258A"/>
    <w:rPr>
      <w:rFonts w:ascii="Verdana" w:eastAsia="Times New Roman" w:hAnsi="Verdana" w:cs="Arial"/>
      <w:b/>
      <w:bCs/>
      <w:sz w:val="18"/>
      <w:szCs w:val="18"/>
    </w:rPr>
  </w:style>
  <w:style w:type="character" w:customStyle="1" w:styleId="berschrift4Zchn">
    <w:name w:val="Überschrift 4 Zchn"/>
    <w:basedOn w:val="Absatz-Standardschriftart"/>
    <w:link w:val="berschrift4"/>
    <w:rsid w:val="00F0258A"/>
    <w:rPr>
      <w:rFonts w:ascii="Verdana" w:eastAsia="Times New Roman" w:hAnsi="Verdana" w:cs="Times New Roman"/>
      <w:b/>
      <w:bCs/>
      <w:sz w:val="18"/>
      <w:szCs w:val="18"/>
    </w:rPr>
  </w:style>
  <w:style w:type="character" w:customStyle="1" w:styleId="berschrift5Zchn">
    <w:name w:val="Überschrift 5 Zchn"/>
    <w:basedOn w:val="Absatz-Standardschriftart"/>
    <w:link w:val="berschrift5"/>
    <w:rsid w:val="00F0258A"/>
    <w:rPr>
      <w:rFonts w:ascii="Verdana" w:eastAsia="Times New Roman" w:hAnsi="Verdana" w:cs="Times New Roman"/>
      <w:bCs/>
      <w:iCs/>
      <w:sz w:val="18"/>
      <w:szCs w:val="18"/>
    </w:rPr>
  </w:style>
  <w:style w:type="character" w:customStyle="1" w:styleId="berschrift6Zchn">
    <w:name w:val="Überschrift 6 Zchn"/>
    <w:basedOn w:val="Absatz-Standardschriftart"/>
    <w:link w:val="berschrift6"/>
    <w:rsid w:val="00F0258A"/>
    <w:rPr>
      <w:rFonts w:ascii="Verdana" w:eastAsia="Times New Roman" w:hAnsi="Verdana" w:cs="Times New Roman"/>
      <w:bCs/>
      <w:sz w:val="18"/>
      <w:szCs w:val="18"/>
    </w:rPr>
  </w:style>
  <w:style w:type="character" w:customStyle="1" w:styleId="berschrift7Zchn">
    <w:name w:val="Überschrift 7 Zchn"/>
    <w:basedOn w:val="Absatz-Standardschriftart"/>
    <w:link w:val="berschrift7"/>
    <w:rsid w:val="00F0258A"/>
    <w:rPr>
      <w:rFonts w:ascii="Verdana" w:eastAsia="Times New Roman" w:hAnsi="Verdana" w:cs="Times New Roman"/>
      <w:sz w:val="18"/>
      <w:szCs w:val="18"/>
    </w:rPr>
  </w:style>
  <w:style w:type="character" w:customStyle="1" w:styleId="berschrift8Zchn">
    <w:name w:val="Überschrift 8 Zchn"/>
    <w:basedOn w:val="Absatz-Standardschriftart"/>
    <w:link w:val="berschrift8"/>
    <w:rsid w:val="00F0258A"/>
    <w:rPr>
      <w:rFonts w:ascii="Verdana" w:eastAsia="Times New Roman" w:hAnsi="Verdana" w:cs="Times New Roman"/>
      <w:iCs/>
      <w:sz w:val="18"/>
      <w:szCs w:val="18"/>
    </w:rPr>
  </w:style>
  <w:style w:type="character" w:customStyle="1" w:styleId="berschrift9Zchn">
    <w:name w:val="Überschrift 9 Zchn"/>
    <w:basedOn w:val="Absatz-Standardschriftart"/>
    <w:link w:val="berschrift9"/>
    <w:rsid w:val="00F0258A"/>
    <w:rPr>
      <w:rFonts w:ascii="Verdana" w:eastAsia="Times New Roman" w:hAnsi="Verdana" w:cs="Arial"/>
      <w:sz w:val="18"/>
      <w:szCs w:val="18"/>
    </w:rPr>
  </w:style>
  <w:style w:type="paragraph" w:styleId="Sprechblasentext">
    <w:name w:val="Balloon Text"/>
    <w:basedOn w:val="Standard"/>
    <w:link w:val="SprechblasentextZchn"/>
    <w:uiPriority w:val="99"/>
    <w:semiHidden/>
    <w:unhideWhenUsed/>
    <w:rsid w:val="00BD58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809"/>
    <w:rPr>
      <w:rFonts w:ascii="Tahoma" w:eastAsia="Times New Roman" w:hAnsi="Tahoma" w:cs="Tahoma"/>
      <w:sz w:val="16"/>
      <w:szCs w:val="16"/>
    </w:rPr>
  </w:style>
  <w:style w:type="character" w:customStyle="1" w:styleId="hp">
    <w:name w:val="hp"/>
    <w:basedOn w:val="Absatz-Standardschriftart"/>
    <w:rsid w:val="00A374FE"/>
  </w:style>
  <w:style w:type="character" w:customStyle="1" w:styleId="j-j5-ji">
    <w:name w:val="j-j5-ji"/>
    <w:basedOn w:val="Absatz-Standardschriftart"/>
    <w:rsid w:val="00A374FE"/>
  </w:style>
  <w:style w:type="character" w:customStyle="1" w:styleId="il">
    <w:name w:val="il"/>
    <w:basedOn w:val="Absatz-Standardschriftart"/>
    <w:rsid w:val="00A374FE"/>
  </w:style>
  <w:style w:type="paragraph" w:styleId="Kopfzeile">
    <w:name w:val="header"/>
    <w:basedOn w:val="Standard"/>
    <w:link w:val="KopfzeileZchn"/>
    <w:uiPriority w:val="99"/>
    <w:unhideWhenUsed/>
    <w:rsid w:val="002B13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13A4"/>
    <w:rPr>
      <w:rFonts w:ascii="Verdana" w:eastAsia="Times New Roman" w:hAnsi="Verdana" w:cs="Times New Roman"/>
      <w:sz w:val="18"/>
    </w:rPr>
  </w:style>
  <w:style w:type="paragraph" w:styleId="Fuzeile">
    <w:name w:val="footer"/>
    <w:basedOn w:val="Standard"/>
    <w:link w:val="FuzeileZchn"/>
    <w:uiPriority w:val="99"/>
    <w:unhideWhenUsed/>
    <w:rsid w:val="002B13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13A4"/>
    <w:rPr>
      <w:rFonts w:ascii="Verdana" w:eastAsia="Times New Roman" w:hAnsi="Verdana" w:cs="Times New Roman"/>
      <w:sz w:val="18"/>
    </w:rPr>
  </w:style>
  <w:style w:type="paragraph" w:customStyle="1" w:styleId="LL-Footer">
    <w:name w:val="LL-Footer"/>
    <w:basedOn w:val="Kopfzeile"/>
    <w:uiPriority w:val="99"/>
    <w:rsid w:val="00C11FC4"/>
    <w:pPr>
      <w:tabs>
        <w:tab w:val="clear" w:pos="4536"/>
        <w:tab w:val="clear" w:pos="9072"/>
        <w:tab w:val="left" w:pos="4253"/>
      </w:tabs>
      <w:spacing w:line="180" w:lineRule="exact"/>
      <w:jc w:val="right"/>
    </w:pPr>
    <w:rPr>
      <w:rFonts w:ascii="Flama" w:hAnsi="Flama" w:cs="Arial"/>
      <w:color w:val="404040"/>
      <w:sz w:val="14"/>
      <w:szCs w:val="14"/>
      <w:lang w:eastAsia="de-DE"/>
    </w:rPr>
  </w:style>
  <w:style w:type="paragraph" w:styleId="Listenabsatz">
    <w:name w:val="List Paragraph"/>
    <w:basedOn w:val="Standard"/>
    <w:uiPriority w:val="34"/>
    <w:rsid w:val="00F04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5835">
      <w:bodyDiv w:val="1"/>
      <w:marLeft w:val="0"/>
      <w:marRight w:val="0"/>
      <w:marTop w:val="0"/>
      <w:marBottom w:val="0"/>
      <w:divBdr>
        <w:top w:val="none" w:sz="0" w:space="0" w:color="auto"/>
        <w:left w:val="none" w:sz="0" w:space="0" w:color="auto"/>
        <w:bottom w:val="none" w:sz="0" w:space="0" w:color="auto"/>
        <w:right w:val="none" w:sz="0" w:space="0" w:color="auto"/>
      </w:divBdr>
      <w:divsChild>
        <w:div w:id="594169310">
          <w:marLeft w:val="0"/>
          <w:marRight w:val="0"/>
          <w:marTop w:val="0"/>
          <w:marBottom w:val="0"/>
          <w:divBdr>
            <w:top w:val="none" w:sz="0" w:space="0" w:color="auto"/>
            <w:left w:val="none" w:sz="0" w:space="0" w:color="auto"/>
            <w:bottom w:val="none" w:sz="0" w:space="0" w:color="auto"/>
            <w:right w:val="none" w:sz="0" w:space="0" w:color="auto"/>
          </w:divBdr>
          <w:divsChild>
            <w:div w:id="1721854944">
              <w:marLeft w:val="0"/>
              <w:marRight w:val="0"/>
              <w:marTop w:val="0"/>
              <w:marBottom w:val="0"/>
              <w:divBdr>
                <w:top w:val="none" w:sz="0" w:space="0" w:color="auto"/>
                <w:left w:val="none" w:sz="0" w:space="0" w:color="auto"/>
                <w:bottom w:val="none" w:sz="0" w:space="0" w:color="auto"/>
                <w:right w:val="none" w:sz="0" w:space="0" w:color="auto"/>
              </w:divBdr>
              <w:divsChild>
                <w:div w:id="1954361670">
                  <w:marLeft w:val="0"/>
                  <w:marRight w:val="0"/>
                  <w:marTop w:val="0"/>
                  <w:marBottom w:val="0"/>
                  <w:divBdr>
                    <w:top w:val="none" w:sz="0" w:space="0" w:color="auto"/>
                    <w:left w:val="none" w:sz="0" w:space="0" w:color="auto"/>
                    <w:bottom w:val="none" w:sz="0" w:space="0" w:color="auto"/>
                    <w:right w:val="none" w:sz="0" w:space="0" w:color="auto"/>
                  </w:divBdr>
                  <w:divsChild>
                    <w:div w:id="662393564">
                      <w:marLeft w:val="0"/>
                      <w:marRight w:val="0"/>
                      <w:marTop w:val="0"/>
                      <w:marBottom w:val="0"/>
                      <w:divBdr>
                        <w:top w:val="none" w:sz="0" w:space="0" w:color="auto"/>
                        <w:left w:val="none" w:sz="0" w:space="0" w:color="auto"/>
                        <w:bottom w:val="none" w:sz="0" w:space="0" w:color="auto"/>
                        <w:right w:val="none" w:sz="0" w:space="0" w:color="auto"/>
                      </w:divBdr>
                      <w:divsChild>
                        <w:div w:id="1046443771">
                          <w:marLeft w:val="0"/>
                          <w:marRight w:val="0"/>
                          <w:marTop w:val="0"/>
                          <w:marBottom w:val="0"/>
                          <w:divBdr>
                            <w:top w:val="none" w:sz="0" w:space="0" w:color="auto"/>
                            <w:left w:val="none" w:sz="0" w:space="0" w:color="auto"/>
                            <w:bottom w:val="none" w:sz="0" w:space="0" w:color="auto"/>
                            <w:right w:val="none" w:sz="0" w:space="0" w:color="auto"/>
                          </w:divBdr>
                          <w:divsChild>
                            <w:div w:id="97330760">
                              <w:marLeft w:val="0"/>
                              <w:marRight w:val="0"/>
                              <w:marTop w:val="0"/>
                              <w:marBottom w:val="0"/>
                              <w:divBdr>
                                <w:top w:val="none" w:sz="0" w:space="0" w:color="auto"/>
                                <w:left w:val="none" w:sz="0" w:space="0" w:color="auto"/>
                                <w:bottom w:val="none" w:sz="0" w:space="0" w:color="auto"/>
                                <w:right w:val="none" w:sz="0" w:space="0" w:color="auto"/>
                              </w:divBdr>
                              <w:divsChild>
                                <w:div w:id="605968600">
                                  <w:marLeft w:val="0"/>
                                  <w:marRight w:val="0"/>
                                  <w:marTop w:val="0"/>
                                  <w:marBottom w:val="0"/>
                                  <w:divBdr>
                                    <w:top w:val="none" w:sz="0" w:space="0" w:color="auto"/>
                                    <w:left w:val="none" w:sz="0" w:space="0" w:color="auto"/>
                                    <w:bottom w:val="none" w:sz="0" w:space="0" w:color="auto"/>
                                    <w:right w:val="none" w:sz="0" w:space="0" w:color="auto"/>
                                  </w:divBdr>
                                  <w:divsChild>
                                    <w:div w:id="1102646577">
                                      <w:marLeft w:val="0"/>
                                      <w:marRight w:val="0"/>
                                      <w:marTop w:val="0"/>
                                      <w:marBottom w:val="0"/>
                                      <w:divBdr>
                                        <w:top w:val="none" w:sz="0" w:space="0" w:color="auto"/>
                                        <w:left w:val="none" w:sz="0" w:space="0" w:color="auto"/>
                                        <w:bottom w:val="none" w:sz="0" w:space="0" w:color="auto"/>
                                        <w:right w:val="none" w:sz="0" w:space="0" w:color="auto"/>
                                      </w:divBdr>
                                      <w:divsChild>
                                        <w:div w:id="618951456">
                                          <w:marLeft w:val="0"/>
                                          <w:marRight w:val="0"/>
                                          <w:marTop w:val="0"/>
                                          <w:marBottom w:val="0"/>
                                          <w:divBdr>
                                            <w:top w:val="none" w:sz="0" w:space="0" w:color="auto"/>
                                            <w:left w:val="none" w:sz="0" w:space="0" w:color="auto"/>
                                            <w:bottom w:val="none" w:sz="0" w:space="0" w:color="auto"/>
                                            <w:right w:val="none" w:sz="0" w:space="0" w:color="auto"/>
                                          </w:divBdr>
                                          <w:divsChild>
                                            <w:div w:id="59909480">
                                              <w:marLeft w:val="0"/>
                                              <w:marRight w:val="0"/>
                                              <w:marTop w:val="0"/>
                                              <w:marBottom w:val="0"/>
                                              <w:divBdr>
                                                <w:top w:val="none" w:sz="0" w:space="0" w:color="auto"/>
                                                <w:left w:val="none" w:sz="0" w:space="0" w:color="auto"/>
                                                <w:bottom w:val="none" w:sz="0" w:space="0" w:color="auto"/>
                                                <w:right w:val="none" w:sz="0" w:space="0" w:color="auto"/>
                                              </w:divBdr>
                                              <w:divsChild>
                                                <w:div w:id="2010789021">
                                                  <w:marLeft w:val="0"/>
                                                  <w:marRight w:val="0"/>
                                                  <w:marTop w:val="0"/>
                                                  <w:marBottom w:val="0"/>
                                                  <w:divBdr>
                                                    <w:top w:val="none" w:sz="0" w:space="0" w:color="auto"/>
                                                    <w:left w:val="none" w:sz="0" w:space="0" w:color="auto"/>
                                                    <w:bottom w:val="none" w:sz="0" w:space="0" w:color="auto"/>
                                                    <w:right w:val="none" w:sz="0" w:space="0" w:color="auto"/>
                                                  </w:divBdr>
                                                  <w:divsChild>
                                                    <w:div w:id="679740009">
                                                      <w:marLeft w:val="0"/>
                                                      <w:marRight w:val="0"/>
                                                      <w:marTop w:val="0"/>
                                                      <w:marBottom w:val="0"/>
                                                      <w:divBdr>
                                                        <w:top w:val="none" w:sz="0" w:space="0" w:color="auto"/>
                                                        <w:left w:val="none" w:sz="0" w:space="0" w:color="auto"/>
                                                        <w:bottom w:val="none" w:sz="0" w:space="0" w:color="auto"/>
                                                        <w:right w:val="none" w:sz="0" w:space="0" w:color="auto"/>
                                                      </w:divBdr>
                                                      <w:divsChild>
                                                        <w:div w:id="1638024648">
                                                          <w:marLeft w:val="0"/>
                                                          <w:marRight w:val="0"/>
                                                          <w:marTop w:val="0"/>
                                                          <w:marBottom w:val="0"/>
                                                          <w:divBdr>
                                                            <w:top w:val="none" w:sz="0" w:space="0" w:color="auto"/>
                                                            <w:left w:val="none" w:sz="0" w:space="0" w:color="auto"/>
                                                            <w:bottom w:val="none" w:sz="0" w:space="0" w:color="auto"/>
                                                            <w:right w:val="none" w:sz="0" w:space="0" w:color="auto"/>
                                                          </w:divBdr>
                                                          <w:divsChild>
                                                            <w:div w:id="445392040">
                                                              <w:marLeft w:val="0"/>
                                                              <w:marRight w:val="0"/>
                                                              <w:marTop w:val="0"/>
                                                              <w:marBottom w:val="0"/>
                                                              <w:divBdr>
                                                                <w:top w:val="none" w:sz="0" w:space="0" w:color="auto"/>
                                                                <w:left w:val="none" w:sz="0" w:space="0" w:color="auto"/>
                                                                <w:bottom w:val="none" w:sz="0" w:space="0" w:color="auto"/>
                                                                <w:right w:val="none" w:sz="0" w:space="0" w:color="auto"/>
                                                              </w:divBdr>
                                                              <w:divsChild>
                                                                <w:div w:id="1917746689">
                                                                  <w:marLeft w:val="0"/>
                                                                  <w:marRight w:val="0"/>
                                                                  <w:marTop w:val="0"/>
                                                                  <w:marBottom w:val="0"/>
                                                                  <w:divBdr>
                                                                    <w:top w:val="none" w:sz="0" w:space="0" w:color="auto"/>
                                                                    <w:left w:val="none" w:sz="0" w:space="0" w:color="auto"/>
                                                                    <w:bottom w:val="none" w:sz="0" w:space="0" w:color="auto"/>
                                                                    <w:right w:val="none" w:sz="0" w:space="0" w:color="auto"/>
                                                                  </w:divBdr>
                                                                  <w:divsChild>
                                                                    <w:div w:id="1733846066">
                                                                      <w:marLeft w:val="0"/>
                                                                      <w:marRight w:val="0"/>
                                                                      <w:marTop w:val="0"/>
                                                                      <w:marBottom w:val="0"/>
                                                                      <w:divBdr>
                                                                        <w:top w:val="none" w:sz="0" w:space="0" w:color="auto"/>
                                                                        <w:left w:val="none" w:sz="0" w:space="0" w:color="auto"/>
                                                                        <w:bottom w:val="none" w:sz="0" w:space="0" w:color="auto"/>
                                                                        <w:right w:val="none" w:sz="0" w:space="0" w:color="auto"/>
                                                                      </w:divBdr>
                                                                      <w:divsChild>
                                                                        <w:div w:id="826215018">
                                                                          <w:marLeft w:val="0"/>
                                                                          <w:marRight w:val="0"/>
                                                                          <w:marTop w:val="0"/>
                                                                          <w:marBottom w:val="0"/>
                                                                          <w:divBdr>
                                                                            <w:top w:val="none" w:sz="0" w:space="0" w:color="auto"/>
                                                                            <w:left w:val="none" w:sz="0" w:space="0" w:color="auto"/>
                                                                            <w:bottom w:val="none" w:sz="0" w:space="0" w:color="auto"/>
                                                                            <w:right w:val="none" w:sz="0" w:space="0" w:color="auto"/>
                                                                          </w:divBdr>
                                                                          <w:divsChild>
                                                                            <w:div w:id="2029066420">
                                                                              <w:marLeft w:val="0"/>
                                                                              <w:marRight w:val="0"/>
                                                                              <w:marTop w:val="0"/>
                                                                              <w:marBottom w:val="0"/>
                                                                              <w:divBdr>
                                                                                <w:top w:val="none" w:sz="0" w:space="0" w:color="auto"/>
                                                                                <w:left w:val="none" w:sz="0" w:space="0" w:color="auto"/>
                                                                                <w:bottom w:val="none" w:sz="0" w:space="0" w:color="auto"/>
                                                                                <w:right w:val="none" w:sz="0" w:space="0" w:color="auto"/>
                                                                              </w:divBdr>
                                                                              <w:divsChild>
                                                                                <w:div w:id="1035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Cronus">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1915-B2D0-4FCB-9AEE-CA1C284F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2024-07-22T08:47:00Z</dcterms:created>
  <dcterms:modified xsi:type="dcterms:W3CDTF">2024-08-02T09:57:00Z</dcterms:modified>
  <cp:contentStatus/>
</cp:coreProperties>
</file>