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B3EE" w14:textId="4FA7AA22" w:rsidR="001C2816" w:rsidRDefault="00990B5C" w:rsidP="00484B36">
      <w:pPr>
        <w:pStyle w:val="Pagedecouverture"/>
      </w:pPr>
      <w:bookmarkStart w:id="0" w:name="_GoBack"/>
      <w:bookmarkEnd w:id="0"/>
      <w:r>
        <w:pict w14:anchorId="2FB30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07A35EA-A1CC-4627-9F30-0A7394994B24" style="width:450.75pt;height:395.25pt">
            <v:imagedata r:id="rId8" o:title=""/>
          </v:shape>
        </w:pict>
      </w:r>
    </w:p>
    <w:p w14:paraId="60617CD6" w14:textId="77777777" w:rsidR="005A7198" w:rsidRPr="00A01AA1" w:rsidRDefault="005A7198" w:rsidP="00A01AA1">
      <w:pPr>
        <w:sectPr w:rsidR="005A7198" w:rsidRPr="00A01AA1" w:rsidSect="008660C0">
          <w:footerReference w:type="default" r:id="rId9"/>
          <w:pgSz w:w="11907" w:h="16839"/>
          <w:pgMar w:top="1134" w:right="1417" w:bottom="1134" w:left="1417" w:header="709" w:footer="709" w:gutter="0"/>
          <w:pgNumType w:start="0"/>
          <w:cols w:space="720"/>
          <w:docGrid w:linePitch="360"/>
        </w:sectPr>
      </w:pPr>
    </w:p>
    <w:p w14:paraId="16FF139B" w14:textId="689D4342" w:rsidR="005A7198" w:rsidRPr="00A01AA1" w:rsidRDefault="00484B36" w:rsidP="00484B36">
      <w:pPr>
        <w:pStyle w:val="Typedudocument"/>
      </w:pPr>
      <w:r w:rsidRPr="00484B36">
        <w:lastRenderedPageBreak/>
        <w:t>COMMISSION REGULATION (EU) …/…</w:t>
      </w:r>
    </w:p>
    <w:p w14:paraId="529FF06F" w14:textId="0D43A9D4" w:rsidR="005A7198" w:rsidRPr="00A01AA1" w:rsidRDefault="00484B36" w:rsidP="00484B36">
      <w:pPr>
        <w:pStyle w:val="Datedadoption"/>
      </w:pPr>
      <w:r w:rsidRPr="00484B36">
        <w:t xml:space="preserve">of </w:t>
      </w:r>
      <w:r w:rsidRPr="00484B36">
        <w:rPr>
          <w:rStyle w:val="Marker2"/>
        </w:rPr>
        <w:t>XXX</w:t>
      </w:r>
    </w:p>
    <w:p w14:paraId="5CD7A4F8" w14:textId="089D20B7" w:rsidR="005A7198" w:rsidRPr="00A01AA1" w:rsidRDefault="00484B36" w:rsidP="00484B36">
      <w:pPr>
        <w:pStyle w:val="Titreobjet"/>
      </w:pPr>
      <w:r w:rsidRPr="00484B36">
        <w:t>amending Annex XIV to Regulation (EU) No 1907/2006 of the European Parliament and of the Council concerning the Registration, Evaluation, Authorisation and Restriction of Chemicals (REACH)</w:t>
      </w:r>
    </w:p>
    <w:p w14:paraId="57E0A558" w14:textId="1470883E" w:rsidR="005A7198" w:rsidRPr="005A7198" w:rsidRDefault="00484B36" w:rsidP="00484B36">
      <w:pPr>
        <w:pStyle w:val="IntrtEEE"/>
      </w:pPr>
      <w:r w:rsidRPr="00484B36">
        <w:t>(Text with EEA relevance)</w:t>
      </w:r>
    </w:p>
    <w:p w14:paraId="60340658" w14:textId="77777777" w:rsidR="005A7198" w:rsidRPr="00A01AA1" w:rsidRDefault="005A7198" w:rsidP="001C3314">
      <w:pPr>
        <w:pStyle w:val="Institutionquiagit"/>
      </w:pPr>
      <w:r w:rsidRPr="00A01AA1">
        <w:t>THE EUROPEAN COMMISSION,</w:t>
      </w:r>
    </w:p>
    <w:p w14:paraId="46E454F4" w14:textId="77777777" w:rsidR="005A7198" w:rsidRPr="00A01AA1" w:rsidRDefault="005A7198" w:rsidP="001C3314">
      <w:r w:rsidRPr="00A01AA1">
        <w:t>Having regard to the Treaty on the Functioning of the European Union,</w:t>
      </w:r>
    </w:p>
    <w:p w14:paraId="409BFF90" w14:textId="77777777" w:rsidR="005A7198" w:rsidRPr="00A01AA1" w:rsidRDefault="005A7198" w:rsidP="005A7198">
      <w:r w:rsidRPr="00A01AA1">
        <w:t xml:space="preserve">Having regard to </w:t>
      </w:r>
      <w:r w:rsidRPr="00751957">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A01AA1">
        <w:rPr>
          <w:rStyle w:val="FootnoteReference"/>
        </w:rPr>
        <w:footnoteReference w:id="1"/>
      </w:r>
      <w:r w:rsidRPr="00A01AA1">
        <w:t>, and in particular Article</w:t>
      </w:r>
      <w:r>
        <w:t>s </w:t>
      </w:r>
      <w:r w:rsidRPr="00751957">
        <w:t xml:space="preserve">58 and 131 </w:t>
      </w:r>
      <w:r w:rsidRPr="00A01AA1">
        <w:t>thereof,</w:t>
      </w:r>
    </w:p>
    <w:p w14:paraId="3BA818DF" w14:textId="77777777" w:rsidR="005A7198" w:rsidRPr="00A01AA1" w:rsidRDefault="005A7198" w:rsidP="001C3314">
      <w:r w:rsidRPr="00A01AA1">
        <w:t>Whereas:</w:t>
      </w:r>
    </w:p>
    <w:p w14:paraId="3ACEE985" w14:textId="6423B193" w:rsidR="005A7198" w:rsidRDefault="005A7198" w:rsidP="00236532">
      <w:pPr>
        <w:pStyle w:val="Considrant"/>
        <w:numPr>
          <w:ilvl w:val="0"/>
          <w:numId w:val="5"/>
        </w:numPr>
      </w:pPr>
      <w:r w:rsidRPr="003610FC">
        <w:t>The substances bis(2-ethylhexyl) phthalate (</w:t>
      </w:r>
      <w:r w:rsidRPr="00236532">
        <w:rPr>
          <w:bCs/>
        </w:rPr>
        <w:t>DEHP</w:t>
      </w:r>
      <w:r w:rsidRPr="003610FC">
        <w:t>), benzyl butyl phthalate (</w:t>
      </w:r>
      <w:r w:rsidRPr="00236532">
        <w:rPr>
          <w:bCs/>
        </w:rPr>
        <w:t>BBP</w:t>
      </w:r>
      <w:r w:rsidRPr="003610FC">
        <w:t>), dibutyl phthalate (</w:t>
      </w:r>
      <w:r w:rsidRPr="00236532">
        <w:rPr>
          <w:bCs/>
        </w:rPr>
        <w:t>DBP</w:t>
      </w:r>
      <w:r w:rsidRPr="003610FC">
        <w:t xml:space="preserve">) and diisobutyl phthalate (DIBP) </w:t>
      </w:r>
      <w:r>
        <w:t xml:space="preserve">are listed in entries 4 to 7 of Annex XIV to Regulation (EC) No 1907/2006 because they </w:t>
      </w:r>
      <w:r w:rsidRPr="00D05299">
        <w:t>meet the criteria</w:t>
      </w:r>
      <w:r w:rsidRPr="00641A9B">
        <w:t xml:space="preserve"> set out in</w:t>
      </w:r>
      <w:r w:rsidR="006002B7">
        <w:t xml:space="preserve"> point (c) of</w:t>
      </w:r>
      <w:r w:rsidRPr="00641A9B">
        <w:t xml:space="preserve"> Article 57 of that Regulation.</w:t>
      </w:r>
      <w:r>
        <w:t xml:space="preserve"> </w:t>
      </w:r>
      <w:r w:rsidR="007442A5">
        <w:t xml:space="preserve">In accordance with Article 59 of Regulation (EC) No 1907/2006, </w:t>
      </w:r>
      <w:r>
        <w:t xml:space="preserve">DEHP has subsequently been </w:t>
      </w:r>
      <w:r w:rsidR="00C22087">
        <w:t xml:space="preserve">additionally </w:t>
      </w:r>
      <w:r>
        <w:t xml:space="preserve">identified </w:t>
      </w:r>
      <w:r w:rsidR="0071751E">
        <w:t>as meeting the criteria set out in point (f)</w:t>
      </w:r>
      <w:r>
        <w:t xml:space="preserve"> Article 57 of that Regulation</w:t>
      </w:r>
      <w:r w:rsidR="0071751E">
        <w:t xml:space="preserve">, namely </w:t>
      </w:r>
      <w:r>
        <w:t>as having endocrine disrupting properties for which there is scientific evidence of probable serious effects to the environment</w:t>
      </w:r>
      <w:r w:rsidR="00EC43BA">
        <w:rPr>
          <w:rStyle w:val="FootnoteReference"/>
        </w:rPr>
        <w:footnoteReference w:id="2"/>
      </w:r>
      <w:r>
        <w:t xml:space="preserve">. </w:t>
      </w:r>
      <w:r w:rsidR="00117417">
        <w:t>All the</w:t>
      </w:r>
      <w:r>
        <w:t xml:space="preserve"> </w:t>
      </w:r>
      <w:r w:rsidR="007C3E9C">
        <w:t>four</w:t>
      </w:r>
      <w:r w:rsidR="00E40B1E">
        <w:t xml:space="preserve"> </w:t>
      </w:r>
      <w:r>
        <w:t xml:space="preserve">substances have further been identified in accordance with Article </w:t>
      </w:r>
      <w:r w:rsidR="00AB5DCF">
        <w:t>5</w:t>
      </w:r>
      <w:r w:rsidR="007C3E9C" w:rsidRPr="007C3E9C">
        <w:t xml:space="preserve">9 </w:t>
      </w:r>
      <w:r w:rsidR="007C3E9C">
        <w:t>of Regulation (EC) No 1907/2006</w:t>
      </w:r>
      <w:r w:rsidR="007C3E9C" w:rsidRPr="007C3E9C">
        <w:t xml:space="preserve"> as meeting the criteria set out in</w:t>
      </w:r>
      <w:r w:rsidR="007C3E9C">
        <w:t xml:space="preserve"> point (f) Article 57 of that Regulation, namely </w:t>
      </w:r>
      <w:r>
        <w:t>as having endocrine disrupting properties for which there is scientific evidence of probable serious effects to human health</w:t>
      </w:r>
      <w:r w:rsidR="00C33A1B">
        <w:rPr>
          <w:rStyle w:val="FootnoteReference"/>
        </w:rPr>
        <w:footnoteReference w:id="3"/>
      </w:r>
      <w:r>
        <w:t>.</w:t>
      </w:r>
      <w:r w:rsidR="006435B0">
        <w:t xml:space="preserve"> </w:t>
      </w:r>
      <w:r w:rsidR="00236532">
        <w:t>I</w:t>
      </w:r>
      <w:r w:rsidR="00236532" w:rsidRPr="00236532">
        <w:t>n accordance with Article 58(3) of Regulation (EC) No 1907/2006</w:t>
      </w:r>
      <w:r w:rsidR="00236532">
        <w:t>, o</w:t>
      </w:r>
      <w:r w:rsidR="00022B12">
        <w:t>n 10 July 2019 t</w:t>
      </w:r>
      <w:r w:rsidR="006435B0">
        <w:t xml:space="preserve">he European Chemicals Agency (‘the Agency’) </w:t>
      </w:r>
      <w:r w:rsidR="00022B12">
        <w:t>recommended</w:t>
      </w:r>
      <w:r w:rsidR="00E74DDF">
        <w:rPr>
          <w:rStyle w:val="FootnoteReference"/>
        </w:rPr>
        <w:footnoteReference w:id="4"/>
      </w:r>
      <w:r w:rsidR="006435B0">
        <w:t xml:space="preserve"> </w:t>
      </w:r>
      <w:r w:rsidR="000420F1">
        <w:t xml:space="preserve"> </w:t>
      </w:r>
      <w:r w:rsidR="00D533FD">
        <w:t xml:space="preserve">the </w:t>
      </w:r>
      <w:r w:rsidR="00022B12">
        <w:t>elements</w:t>
      </w:r>
      <w:r w:rsidR="00D533FD">
        <w:t xml:space="preserve"> referred to in Article 58(1)</w:t>
      </w:r>
      <w:r w:rsidR="000420F1">
        <w:t xml:space="preserve"> of that Regulation</w:t>
      </w:r>
      <w:r w:rsidR="00022B12">
        <w:t xml:space="preserve"> </w:t>
      </w:r>
      <w:r w:rsidR="00831313">
        <w:t xml:space="preserve">to be specified </w:t>
      </w:r>
      <w:r w:rsidR="00022B12">
        <w:t>for each of those substances</w:t>
      </w:r>
      <w:r w:rsidR="006435B0">
        <w:t>.</w:t>
      </w:r>
    </w:p>
    <w:p w14:paraId="18B54E40" w14:textId="50260A64" w:rsidR="005A7198" w:rsidRPr="004A4701" w:rsidRDefault="00F20C9E" w:rsidP="000F6FB7">
      <w:pPr>
        <w:pStyle w:val="Considrant"/>
      </w:pPr>
      <w:r>
        <w:t>T</w:t>
      </w:r>
      <w:r w:rsidR="005A7198">
        <w:t xml:space="preserve">he inclusion of intrinsic properties </w:t>
      </w:r>
      <w:r w:rsidR="00E122A1">
        <w:t xml:space="preserve">relating to hazards for the environment </w:t>
      </w:r>
      <w:r w:rsidR="005A7198">
        <w:t>in the entr</w:t>
      </w:r>
      <w:r w:rsidR="00E122A1">
        <w:t>y</w:t>
      </w:r>
      <w:r w:rsidR="005A7198">
        <w:t xml:space="preserve"> for DEHP in Annex XIV to Regulation (EC) No 1907/2006, </w:t>
      </w:r>
      <w:r>
        <w:t xml:space="preserve">means that </w:t>
      </w:r>
      <w:r w:rsidR="00E122A1">
        <w:t>the</w:t>
      </w:r>
      <w:r w:rsidR="005A7198">
        <w:t xml:space="preserve"> </w:t>
      </w:r>
      <w:r w:rsidR="00E122A1">
        <w:t xml:space="preserve"> </w:t>
      </w:r>
      <w:r w:rsidR="00E122A1" w:rsidRPr="00F20C9E">
        <w:t>uses of that substance in</w:t>
      </w:r>
      <w:r w:rsidR="00761BA9" w:rsidRPr="00F20C9E">
        <w:t xml:space="preserve"> medical devices </w:t>
      </w:r>
      <w:r>
        <w:t>falling within the scope of</w:t>
      </w:r>
      <w:r w:rsidR="00413556">
        <w:t xml:space="preserve"> </w:t>
      </w:r>
      <w:r w:rsidR="00761BA9" w:rsidRPr="00F20C9E">
        <w:t xml:space="preserve"> </w:t>
      </w:r>
      <w:r w:rsidR="005058E2">
        <w:t>Council Directive 90/385/EEC</w:t>
      </w:r>
      <w:r w:rsidR="00F83E84">
        <w:rPr>
          <w:rStyle w:val="FootnoteReference"/>
        </w:rPr>
        <w:footnoteReference w:id="5"/>
      </w:r>
      <w:r w:rsidR="00287013">
        <w:t>, Council Directive</w:t>
      </w:r>
      <w:r w:rsidR="005058E2">
        <w:t xml:space="preserve"> 93/42/EEC</w:t>
      </w:r>
      <w:r w:rsidR="00F83E84">
        <w:rPr>
          <w:rStyle w:val="FootnoteReference"/>
        </w:rPr>
        <w:footnoteReference w:id="6"/>
      </w:r>
      <w:r w:rsidR="005058E2">
        <w:t xml:space="preserve"> or Directive 98/79/EC </w:t>
      </w:r>
      <w:r>
        <w:t xml:space="preserve">of the European </w:t>
      </w:r>
      <w:r w:rsidR="002F7713">
        <w:t>Parliament</w:t>
      </w:r>
      <w:r>
        <w:t xml:space="preserve"> and of the Council</w:t>
      </w:r>
      <w:r w:rsidR="00783AC9">
        <w:rPr>
          <w:rStyle w:val="FootnoteReference"/>
        </w:rPr>
        <w:footnoteReference w:id="7"/>
      </w:r>
      <w:r w:rsidR="00A6472B">
        <w:t xml:space="preserve"> </w:t>
      </w:r>
      <w:r w:rsidR="00400D02">
        <w:t>are</w:t>
      </w:r>
      <w:r w:rsidR="003D345C">
        <w:t xml:space="preserve"> subject to </w:t>
      </w:r>
      <w:r w:rsidR="00A6472B">
        <w:t xml:space="preserve">authorisation requirement </w:t>
      </w:r>
      <w:r w:rsidR="003D345C">
        <w:t xml:space="preserve">as the second subparagraph of </w:t>
      </w:r>
      <w:r w:rsidR="00A6472B">
        <w:t>Article 6</w:t>
      </w:r>
      <w:r w:rsidR="003D345C">
        <w:t>0</w:t>
      </w:r>
      <w:r w:rsidR="00A6472B">
        <w:t>(</w:t>
      </w:r>
      <w:r w:rsidR="003D345C">
        <w:t>2</w:t>
      </w:r>
      <w:r w:rsidR="00A6472B">
        <w:t>) of Regulation (EC) No 1907/2006</w:t>
      </w:r>
      <w:r w:rsidR="00A47500">
        <w:t xml:space="preserve"> </w:t>
      </w:r>
      <w:r w:rsidR="00A47500" w:rsidRPr="00AC4D55">
        <w:t xml:space="preserve">provides that the Commission shall not consider  risks to human health </w:t>
      </w:r>
      <w:r w:rsidR="00AC4D55" w:rsidRPr="005058E2">
        <w:t xml:space="preserve">only </w:t>
      </w:r>
      <w:r w:rsidR="00A47500" w:rsidRPr="00AC4D55">
        <w:t>arising from</w:t>
      </w:r>
      <w:r w:rsidR="003D345C" w:rsidRPr="00AC4D55">
        <w:t xml:space="preserve"> </w:t>
      </w:r>
      <w:r w:rsidR="003D345C">
        <w:t>those uses</w:t>
      </w:r>
      <w:r w:rsidR="00572E18">
        <w:t xml:space="preserve">. </w:t>
      </w:r>
      <w:r w:rsidR="00170DD8" w:rsidRPr="00783AC9">
        <w:t>As regards t</w:t>
      </w:r>
      <w:r w:rsidR="00572E18" w:rsidRPr="004A4701">
        <w:t xml:space="preserve">he uses of that substance </w:t>
      </w:r>
      <w:r w:rsidR="00761BA9" w:rsidRPr="004A4701">
        <w:t>in food contact materials within the scope of Regulation (EC) No 1935/2004</w:t>
      </w:r>
      <w:r w:rsidRPr="004A4701">
        <w:t xml:space="preserve"> of the European Parliament and of the Council</w:t>
      </w:r>
      <w:r w:rsidR="00E122A1" w:rsidRPr="004A4701">
        <w:rPr>
          <w:rStyle w:val="FootnoteReference"/>
        </w:rPr>
        <w:footnoteReference w:id="8"/>
      </w:r>
      <w:r w:rsidR="00170DD8" w:rsidRPr="004A4701">
        <w:t xml:space="preserve">, the </w:t>
      </w:r>
      <w:r w:rsidR="00170DD8" w:rsidRPr="00783AC9">
        <w:t>inclusion of intrinsic properties relating to hazards for the environment means that those uses</w:t>
      </w:r>
      <w:r w:rsidR="00E122A1" w:rsidRPr="004A4701">
        <w:t xml:space="preserve"> </w:t>
      </w:r>
      <w:r w:rsidR="00400D02" w:rsidRPr="004A4701">
        <w:t xml:space="preserve">are </w:t>
      </w:r>
      <w:r w:rsidR="00085DEE" w:rsidRPr="004A4701">
        <w:t xml:space="preserve">subject to authorisation </w:t>
      </w:r>
      <w:r w:rsidR="00F90A00" w:rsidRPr="004A4701">
        <w:t xml:space="preserve">requirement </w:t>
      </w:r>
      <w:r w:rsidR="00085DEE" w:rsidRPr="004A4701">
        <w:t xml:space="preserve">as Article </w:t>
      </w:r>
      <w:r w:rsidR="00876206" w:rsidRPr="004A4701">
        <w:t>5</w:t>
      </w:r>
      <w:r w:rsidR="00085DEE" w:rsidRPr="004A4701">
        <w:t>6</w:t>
      </w:r>
      <w:r w:rsidR="00876206" w:rsidRPr="004A4701">
        <w:t>(</w:t>
      </w:r>
      <w:r w:rsidR="00085DEE" w:rsidRPr="004A4701">
        <w:t>5</w:t>
      </w:r>
      <w:r w:rsidR="00876206" w:rsidRPr="004A4701">
        <w:t>) of Regulation (EC) No 1907/2006</w:t>
      </w:r>
      <w:r w:rsidR="00085DEE" w:rsidRPr="004A4701">
        <w:t xml:space="preserve"> no longer applies </w:t>
      </w:r>
      <w:r w:rsidR="00A47500" w:rsidRPr="00783AC9">
        <w:t>to</w:t>
      </w:r>
      <w:r w:rsidR="00085DEE" w:rsidRPr="00783AC9">
        <w:t xml:space="preserve"> </w:t>
      </w:r>
      <w:r w:rsidR="00C60F5D" w:rsidRPr="00783AC9">
        <w:t>them</w:t>
      </w:r>
      <w:r w:rsidR="00E122A1" w:rsidRPr="004A4701">
        <w:t>.</w:t>
      </w:r>
    </w:p>
    <w:p w14:paraId="7E87A78A" w14:textId="1DDA0FCB" w:rsidR="00E122A1" w:rsidRDefault="00EC1D53" w:rsidP="005A7198">
      <w:pPr>
        <w:pStyle w:val="Considrant"/>
      </w:pPr>
      <w:r>
        <w:t>By</w:t>
      </w:r>
      <w:r w:rsidR="00E122A1">
        <w:t xml:space="preserve"> inclu</w:t>
      </w:r>
      <w:r>
        <w:t>ding</w:t>
      </w:r>
      <w:r w:rsidR="00E122A1">
        <w:t xml:space="preserve"> in the entries of DEHP, BBP, DBP and DIBP intrinsic properties </w:t>
      </w:r>
      <w:r w:rsidR="00A4586C" w:rsidRPr="004820F0">
        <w:t>referred to in</w:t>
      </w:r>
      <w:r w:rsidR="00A4586C">
        <w:t xml:space="preserve"> </w:t>
      </w:r>
      <w:r w:rsidR="00544215">
        <w:t>point (f) of</w:t>
      </w:r>
      <w:r w:rsidR="00E122A1">
        <w:t xml:space="preserve"> Article 57 of Regulation (EC) No 1907/2006, the concentration limit applicable to the presence of th</w:t>
      </w:r>
      <w:r w:rsidR="00D00033">
        <w:t>o</w:t>
      </w:r>
      <w:r w:rsidR="00E122A1">
        <w:t xml:space="preserve">se substances in mixtures for the purposes of the exemption set out in Article 56(6) </w:t>
      </w:r>
      <w:r w:rsidR="00D00033">
        <w:t xml:space="preserve">of that Regulation </w:t>
      </w:r>
      <w:r w:rsidR="00E122A1">
        <w:t>become</w:t>
      </w:r>
      <w:r w:rsidR="00D00033">
        <w:t>s</w:t>
      </w:r>
      <w:r w:rsidR="00E122A1">
        <w:t xml:space="preserve"> 0,1% weight by weight</w:t>
      </w:r>
      <w:r w:rsidR="0094788D">
        <w:t>.</w:t>
      </w:r>
      <w:r w:rsidR="00E122A1">
        <w:t xml:space="preserve"> </w:t>
      </w:r>
    </w:p>
    <w:p w14:paraId="35336579" w14:textId="07D799D9" w:rsidR="005A7198" w:rsidRDefault="005A7198" w:rsidP="005A7198">
      <w:pPr>
        <w:pStyle w:val="Considrant"/>
      </w:pPr>
      <w:r w:rsidRPr="004226ED">
        <w:t>Article 58(1)(e) in conjunction with Article 58(2) of Regulation (EC) No 1907/2006 provides for the possibility of exemptions of uses or categories of uses in cases where specific Union legislation impos</w:t>
      </w:r>
      <w:r>
        <w:t>es</w:t>
      </w:r>
      <w:r w:rsidRPr="004226ED">
        <w:t xml:space="preserve"> minimum requirements relating to the protection of human health or the environment </w:t>
      </w:r>
      <w:r>
        <w:t>ensuring</w:t>
      </w:r>
      <w:r w:rsidRPr="004226ED">
        <w:t xml:space="preserve"> proper control of the risks. </w:t>
      </w:r>
      <w:r w:rsidR="009F4F44">
        <w:t>In accordance with the information currently available</w:t>
      </w:r>
      <w:r w:rsidR="00E547BA">
        <w:t>,</w:t>
      </w:r>
      <w:r w:rsidR="009F4F44">
        <w:t xml:space="preserve"> it is not appropriate to set exemptions based on those provisions.</w:t>
      </w:r>
    </w:p>
    <w:p w14:paraId="7E02945C" w14:textId="2EE55832" w:rsidR="002D107A" w:rsidRPr="00E7652A" w:rsidRDefault="00D95D12" w:rsidP="002D107A">
      <w:pPr>
        <w:pStyle w:val="Considrant"/>
      </w:pPr>
      <w:r>
        <w:t xml:space="preserve">Commission </w:t>
      </w:r>
      <w:r w:rsidR="005A7198">
        <w:t>Regulation (E</w:t>
      </w:r>
      <w:r>
        <w:t>U</w:t>
      </w:r>
      <w:r w:rsidR="005A7198">
        <w:t>) No 143/2011</w:t>
      </w:r>
      <w:r>
        <w:rPr>
          <w:rStyle w:val="FootnoteReference"/>
        </w:rPr>
        <w:footnoteReference w:id="9"/>
      </w:r>
      <w:r w:rsidR="005A7198">
        <w:t xml:space="preserve"> exempted</w:t>
      </w:r>
      <w:r w:rsidR="006E7B5C">
        <w:t xml:space="preserve"> </w:t>
      </w:r>
      <w:r w:rsidR="005A7198">
        <w:t xml:space="preserve">from </w:t>
      </w:r>
      <w:r w:rsidR="006E7B5C">
        <w:t xml:space="preserve">the </w:t>
      </w:r>
      <w:r w:rsidR="005A7198">
        <w:t xml:space="preserve">authorisation </w:t>
      </w:r>
      <w:r w:rsidR="006E7B5C">
        <w:t xml:space="preserve">requirement </w:t>
      </w:r>
      <w:r w:rsidR="005A7198">
        <w:t>t</w:t>
      </w:r>
      <w:r w:rsidR="005A7198">
        <w:rPr>
          <w:szCs w:val="24"/>
        </w:rPr>
        <w:t>he use of DEHP</w:t>
      </w:r>
      <w:r w:rsidR="00E122A1">
        <w:rPr>
          <w:szCs w:val="24"/>
        </w:rPr>
        <w:t>, BBP</w:t>
      </w:r>
      <w:r w:rsidR="00F43330">
        <w:rPr>
          <w:szCs w:val="24"/>
        </w:rPr>
        <w:t xml:space="preserve"> and DBP </w:t>
      </w:r>
      <w:r w:rsidR="005A7198" w:rsidRPr="00230C40">
        <w:t>in the immediate packaging of medicinal products</w:t>
      </w:r>
      <w:r w:rsidR="005A7198" w:rsidRPr="002610A9">
        <w:rPr>
          <w:szCs w:val="24"/>
        </w:rPr>
        <w:t xml:space="preserve"> </w:t>
      </w:r>
      <w:r w:rsidR="005A7198" w:rsidRPr="00D47F3B">
        <w:rPr>
          <w:szCs w:val="24"/>
        </w:rPr>
        <w:t xml:space="preserve">covered </w:t>
      </w:r>
      <w:r w:rsidR="00D47F3B" w:rsidRPr="00D47F3B">
        <w:rPr>
          <w:szCs w:val="24"/>
        </w:rPr>
        <w:t>by</w:t>
      </w:r>
      <w:r w:rsidR="002F4EA4" w:rsidRPr="002610A9">
        <w:rPr>
          <w:szCs w:val="24"/>
        </w:rPr>
        <w:t xml:space="preserve"> </w:t>
      </w:r>
      <w:r w:rsidR="005A7198" w:rsidRPr="002610A9">
        <w:rPr>
          <w:szCs w:val="24"/>
        </w:rPr>
        <w:t>Regulation (EC) No 726/</w:t>
      </w:r>
      <w:r w:rsidR="005A7198" w:rsidRPr="00CC5047">
        <w:t>2004</w:t>
      </w:r>
      <w:r w:rsidR="00CC5047" w:rsidRPr="00400D02">
        <w:t xml:space="preserve"> of the European Parliament and of the Council</w:t>
      </w:r>
      <w:r w:rsidR="00CC5047">
        <w:rPr>
          <w:rStyle w:val="FootnoteReference"/>
        </w:rPr>
        <w:footnoteReference w:id="10"/>
      </w:r>
      <w:r w:rsidR="005A7198" w:rsidRPr="00CC5047">
        <w:t xml:space="preserve">, </w:t>
      </w:r>
      <w:r w:rsidR="005A7198" w:rsidRPr="002610A9">
        <w:rPr>
          <w:szCs w:val="24"/>
        </w:rPr>
        <w:t>Directive 2001/82/EC</w:t>
      </w:r>
      <w:r w:rsidR="000812C7" w:rsidRPr="000812C7">
        <w:t xml:space="preserve"> </w:t>
      </w:r>
      <w:r w:rsidR="000812C7" w:rsidRPr="008A7F1E">
        <w:t>of the European Parliament and of the Council</w:t>
      </w:r>
      <w:r w:rsidR="000812C7">
        <w:rPr>
          <w:rStyle w:val="FootnoteReference"/>
        </w:rPr>
        <w:footnoteReference w:id="11"/>
      </w:r>
      <w:r w:rsidR="005A7198" w:rsidRPr="002610A9">
        <w:rPr>
          <w:szCs w:val="24"/>
        </w:rPr>
        <w:t xml:space="preserve"> and/or Directive 2001/83/EC</w:t>
      </w:r>
      <w:r w:rsidR="000812C7" w:rsidRPr="000812C7">
        <w:t xml:space="preserve"> </w:t>
      </w:r>
      <w:r w:rsidR="000812C7" w:rsidRPr="008A7F1E">
        <w:t>of the European Parliament and of the Council</w:t>
      </w:r>
      <w:r w:rsidR="00207C25">
        <w:rPr>
          <w:rStyle w:val="FootnoteReference"/>
        </w:rPr>
        <w:footnoteReference w:id="12"/>
      </w:r>
      <w:r w:rsidR="00612A0E">
        <w:t>.</w:t>
      </w:r>
      <w:r w:rsidR="00444679" w:rsidRPr="00612A0E">
        <w:t xml:space="preserve"> </w:t>
      </w:r>
      <w:r w:rsidR="001D4454" w:rsidRPr="00612A0E">
        <w:t>T</w:t>
      </w:r>
      <w:r w:rsidR="000C6528" w:rsidRPr="00612A0E">
        <w:rPr>
          <w:szCs w:val="24"/>
        </w:rPr>
        <w:t>he judgment of the C</w:t>
      </w:r>
      <w:r w:rsidR="00612A0E">
        <w:rPr>
          <w:szCs w:val="24"/>
        </w:rPr>
        <w:t xml:space="preserve">ourt of Justice of 13 July 2017 in </w:t>
      </w:r>
      <w:r w:rsidR="00130B3D">
        <w:rPr>
          <w:szCs w:val="24"/>
        </w:rPr>
        <w:t>C</w:t>
      </w:r>
      <w:r w:rsidR="000C6528" w:rsidRPr="00612A0E">
        <w:rPr>
          <w:szCs w:val="24"/>
        </w:rPr>
        <w:t xml:space="preserve">ase C-651/15 P, </w:t>
      </w:r>
      <w:r w:rsidR="003A5D5B" w:rsidRPr="00612A0E">
        <w:rPr>
          <w:i/>
          <w:szCs w:val="24"/>
        </w:rPr>
        <w:t>VECCO and Others v. Commission</w:t>
      </w:r>
      <w:r w:rsidR="003A5D5B" w:rsidRPr="00400D02">
        <w:rPr>
          <w:rStyle w:val="FootnoteReference"/>
          <w:szCs w:val="24"/>
        </w:rPr>
        <w:footnoteReference w:id="13"/>
      </w:r>
      <w:r w:rsidR="000C6528" w:rsidRPr="00612A0E">
        <w:rPr>
          <w:szCs w:val="24"/>
        </w:rPr>
        <w:t xml:space="preserve">, </w:t>
      </w:r>
      <w:r w:rsidR="000B0689" w:rsidRPr="00612A0E">
        <w:rPr>
          <w:szCs w:val="24"/>
        </w:rPr>
        <w:t xml:space="preserve">provided </w:t>
      </w:r>
      <w:r w:rsidR="000C6528" w:rsidRPr="00612A0E">
        <w:rPr>
          <w:szCs w:val="24"/>
        </w:rPr>
        <w:t>clarifi</w:t>
      </w:r>
      <w:r w:rsidR="000B0689" w:rsidRPr="00612A0E">
        <w:rPr>
          <w:szCs w:val="24"/>
        </w:rPr>
        <w:t>cations on</w:t>
      </w:r>
      <w:r w:rsidR="006873EC">
        <w:rPr>
          <w:szCs w:val="24"/>
        </w:rPr>
        <w:t xml:space="preserve"> </w:t>
      </w:r>
      <w:r w:rsidR="006873EC" w:rsidRPr="004820F0">
        <w:rPr>
          <w:szCs w:val="24"/>
        </w:rPr>
        <w:t>certain aspects of</w:t>
      </w:r>
      <w:r w:rsidR="000C6528" w:rsidRPr="004820F0">
        <w:rPr>
          <w:szCs w:val="24"/>
        </w:rPr>
        <w:t xml:space="preserve"> Article 58(2) of Regulation (EC) No 1907/2006 for granting an exemption</w:t>
      </w:r>
      <w:r w:rsidR="00612A0E" w:rsidRPr="004820F0">
        <w:rPr>
          <w:szCs w:val="24"/>
        </w:rPr>
        <w:t xml:space="preserve"> from the authorisation requirement</w:t>
      </w:r>
      <w:r w:rsidR="000B0689" w:rsidRPr="004820F0">
        <w:rPr>
          <w:szCs w:val="24"/>
        </w:rPr>
        <w:t xml:space="preserve">. </w:t>
      </w:r>
      <w:r w:rsidR="00444679" w:rsidRPr="004820F0">
        <w:rPr>
          <w:szCs w:val="24"/>
        </w:rPr>
        <w:t xml:space="preserve"> </w:t>
      </w:r>
      <w:r w:rsidR="0019472C" w:rsidRPr="004820F0">
        <w:rPr>
          <w:szCs w:val="24"/>
        </w:rPr>
        <w:t>T</w:t>
      </w:r>
      <w:r w:rsidR="00654FF2" w:rsidRPr="004820F0">
        <w:rPr>
          <w:szCs w:val="24"/>
        </w:rPr>
        <w:t xml:space="preserve">he Commission has re-assessed </w:t>
      </w:r>
      <w:r w:rsidR="00F43330" w:rsidRPr="004820F0">
        <w:rPr>
          <w:szCs w:val="24"/>
        </w:rPr>
        <w:t xml:space="preserve">the exemption </w:t>
      </w:r>
      <w:r w:rsidR="00171DFE" w:rsidRPr="004820F0">
        <w:rPr>
          <w:szCs w:val="24"/>
        </w:rPr>
        <w:t>set out in Annex XIV</w:t>
      </w:r>
      <w:r w:rsidR="006E7B5C" w:rsidRPr="004820F0">
        <w:rPr>
          <w:szCs w:val="24"/>
        </w:rPr>
        <w:t xml:space="preserve"> </w:t>
      </w:r>
      <w:r w:rsidR="00666C59" w:rsidRPr="004820F0">
        <w:rPr>
          <w:szCs w:val="24"/>
        </w:rPr>
        <w:t>to</w:t>
      </w:r>
      <w:r w:rsidR="006E7B5C" w:rsidRPr="004820F0">
        <w:rPr>
          <w:szCs w:val="24"/>
        </w:rPr>
        <w:t xml:space="preserve"> that Regulation</w:t>
      </w:r>
      <w:r w:rsidR="00171DFE" w:rsidRPr="004820F0">
        <w:rPr>
          <w:szCs w:val="24"/>
        </w:rPr>
        <w:t xml:space="preserve"> </w:t>
      </w:r>
      <w:r w:rsidR="00654FF2" w:rsidRPr="004820F0">
        <w:rPr>
          <w:szCs w:val="24"/>
        </w:rPr>
        <w:t>and</w:t>
      </w:r>
      <w:r w:rsidRPr="004820F0">
        <w:rPr>
          <w:szCs w:val="24"/>
        </w:rPr>
        <w:t xml:space="preserve"> </w:t>
      </w:r>
      <w:r w:rsidR="00654FF2" w:rsidRPr="004820F0">
        <w:rPr>
          <w:szCs w:val="24"/>
        </w:rPr>
        <w:t>ha</w:t>
      </w:r>
      <w:r w:rsidRPr="004820F0">
        <w:rPr>
          <w:szCs w:val="24"/>
        </w:rPr>
        <w:t xml:space="preserve">s concluded that it </w:t>
      </w:r>
      <w:r w:rsidR="00654FF2" w:rsidRPr="004820F0">
        <w:rPr>
          <w:szCs w:val="24"/>
        </w:rPr>
        <w:t xml:space="preserve">does not meet the conditions in Article 58(2). </w:t>
      </w:r>
      <w:r w:rsidR="00400D02" w:rsidRPr="004820F0">
        <w:rPr>
          <w:szCs w:val="24"/>
        </w:rPr>
        <w:t>In particular, in the light of that judgement, Regulation (EC)</w:t>
      </w:r>
      <w:r w:rsidR="00AC4D55" w:rsidRPr="004820F0">
        <w:rPr>
          <w:szCs w:val="24"/>
        </w:rPr>
        <w:t xml:space="preserve"> </w:t>
      </w:r>
      <w:r w:rsidR="00400D02" w:rsidRPr="004820F0">
        <w:rPr>
          <w:szCs w:val="24"/>
        </w:rPr>
        <w:t>No</w:t>
      </w:r>
      <w:r w:rsidR="00AC4D55" w:rsidRPr="004820F0">
        <w:rPr>
          <w:szCs w:val="24"/>
        </w:rPr>
        <w:t xml:space="preserve"> </w:t>
      </w:r>
      <w:r w:rsidR="00400D02" w:rsidRPr="004820F0">
        <w:rPr>
          <w:szCs w:val="24"/>
        </w:rPr>
        <w:t xml:space="preserve">726/2004, and Directives 2001/82/EC and 2001/83/EC do not constitute existing specific </w:t>
      </w:r>
      <w:r w:rsidR="0071706E" w:rsidRPr="004820F0">
        <w:rPr>
          <w:szCs w:val="24"/>
        </w:rPr>
        <w:t>Union</w:t>
      </w:r>
      <w:r w:rsidR="00400D02" w:rsidRPr="004820F0">
        <w:rPr>
          <w:szCs w:val="24"/>
        </w:rPr>
        <w:t xml:space="preserve"> legislation imposing minimum requirements relating to the protection of human health or the environment for the use of DEHP, BBP</w:t>
      </w:r>
      <w:r w:rsidR="0071706E" w:rsidRPr="004820F0">
        <w:rPr>
          <w:szCs w:val="24"/>
        </w:rPr>
        <w:t xml:space="preserve"> and</w:t>
      </w:r>
      <w:r w:rsidR="00400D02" w:rsidRPr="004820F0">
        <w:rPr>
          <w:szCs w:val="24"/>
        </w:rPr>
        <w:t xml:space="preserve"> DBP in i</w:t>
      </w:r>
      <w:r w:rsidR="0078100A">
        <w:rPr>
          <w:szCs w:val="24"/>
        </w:rPr>
        <w:t>mme</w:t>
      </w:r>
      <w:r w:rsidR="00400D02" w:rsidRPr="004820F0">
        <w:rPr>
          <w:szCs w:val="24"/>
        </w:rPr>
        <w:t>diate packaging of medicinal products within the meaning of Article 58(2) of Regulation No 1907/2006</w:t>
      </w:r>
      <w:r w:rsidR="00065EFC" w:rsidRPr="004820F0">
        <w:rPr>
          <w:szCs w:val="24"/>
        </w:rPr>
        <w:t xml:space="preserve"> since they do not contain provisions specific to </w:t>
      </w:r>
      <w:r w:rsidR="00FD7F4D" w:rsidRPr="004820F0">
        <w:rPr>
          <w:szCs w:val="24"/>
        </w:rPr>
        <w:t>those substances</w:t>
      </w:r>
      <w:r w:rsidR="00B822E3" w:rsidRPr="004820F0">
        <w:rPr>
          <w:szCs w:val="24"/>
        </w:rPr>
        <w:t xml:space="preserve"> imposing such requirements</w:t>
      </w:r>
      <w:r w:rsidR="00612A0E" w:rsidRPr="004820F0">
        <w:rPr>
          <w:szCs w:val="24"/>
        </w:rPr>
        <w:t xml:space="preserve">. </w:t>
      </w:r>
      <w:r w:rsidR="0014471B" w:rsidRPr="004820F0">
        <w:rPr>
          <w:szCs w:val="24"/>
        </w:rPr>
        <w:t>F</w:t>
      </w:r>
      <w:r w:rsidR="00F43330" w:rsidRPr="004820F0">
        <w:rPr>
          <w:szCs w:val="24"/>
        </w:rPr>
        <w:t>urthermore, Regulation (EC) No 726/2004</w:t>
      </w:r>
      <w:r w:rsidR="009E2771" w:rsidRPr="004820F0">
        <w:rPr>
          <w:szCs w:val="24"/>
        </w:rPr>
        <w:t xml:space="preserve"> and</w:t>
      </w:r>
      <w:r w:rsidR="00F43330" w:rsidRPr="004820F0">
        <w:rPr>
          <w:szCs w:val="24"/>
        </w:rPr>
        <w:t xml:space="preserve"> Directive</w:t>
      </w:r>
      <w:r w:rsidR="009E2771" w:rsidRPr="004820F0">
        <w:rPr>
          <w:szCs w:val="24"/>
        </w:rPr>
        <w:t>s</w:t>
      </w:r>
      <w:r w:rsidR="00F43330" w:rsidRPr="004820F0">
        <w:rPr>
          <w:szCs w:val="24"/>
        </w:rPr>
        <w:t> 2001/82/EC and 2001/83/EC</w:t>
      </w:r>
      <w:r w:rsidR="00333013" w:rsidRPr="004820F0">
        <w:rPr>
          <w:szCs w:val="24"/>
        </w:rPr>
        <w:t xml:space="preserve"> lay down requirements</w:t>
      </w:r>
      <w:r w:rsidR="00F43330" w:rsidRPr="004820F0">
        <w:t xml:space="preserve"> </w:t>
      </w:r>
      <w:r w:rsidR="00400D02" w:rsidRPr="004820F0">
        <w:t>relate</w:t>
      </w:r>
      <w:r w:rsidR="00333013" w:rsidRPr="004820F0">
        <w:t>d</w:t>
      </w:r>
      <w:r w:rsidR="00F43330" w:rsidRPr="004820F0">
        <w:t xml:space="preserve"> to </w:t>
      </w:r>
      <w:r w:rsidR="00400D02" w:rsidRPr="004820F0">
        <w:t xml:space="preserve">the </w:t>
      </w:r>
      <w:r w:rsidR="00F43330" w:rsidRPr="004820F0">
        <w:t>protect</w:t>
      </w:r>
      <w:r w:rsidR="00400D02" w:rsidRPr="004820F0">
        <w:t>ion</w:t>
      </w:r>
      <w:r w:rsidR="00400D02" w:rsidRPr="00287013">
        <w:t xml:space="preserve"> of </w:t>
      </w:r>
      <w:r w:rsidR="00F43330" w:rsidRPr="00287013">
        <w:t>human health</w:t>
      </w:r>
      <w:r w:rsidR="00D408D7" w:rsidRPr="00287013">
        <w:t xml:space="preserve"> only</w:t>
      </w:r>
      <w:r w:rsidR="00400D02" w:rsidRPr="00287013">
        <w:t>, while,</w:t>
      </w:r>
      <w:r w:rsidR="00400D02" w:rsidRPr="00287013">
        <w:rPr>
          <w:szCs w:val="24"/>
        </w:rPr>
        <w:t xml:space="preserve"> a</w:t>
      </w:r>
      <w:r w:rsidR="006E7B5C" w:rsidRPr="00287013">
        <w:rPr>
          <w:szCs w:val="24"/>
        </w:rPr>
        <w:t xml:space="preserve">s regards DEHP, </w:t>
      </w:r>
      <w:r w:rsidR="006E7B5C" w:rsidRPr="00287013">
        <w:t xml:space="preserve">intrinsic properties relating to hazards for the environment </w:t>
      </w:r>
      <w:r w:rsidR="00400D02" w:rsidRPr="00287013">
        <w:t xml:space="preserve">have been included </w:t>
      </w:r>
      <w:r w:rsidR="006E7B5C" w:rsidRPr="00287013">
        <w:t>in the entry for that substance</w:t>
      </w:r>
      <w:r w:rsidR="006E7B5C">
        <w:t xml:space="preserve"> in Annex XIV to Regulation (EC) No 1907/2006</w:t>
      </w:r>
      <w:r w:rsidR="00400D02" w:rsidRPr="00E7652A">
        <w:t xml:space="preserve">. </w:t>
      </w:r>
      <w:r w:rsidR="00333013" w:rsidRPr="00E7652A">
        <w:rPr>
          <w:szCs w:val="24"/>
        </w:rPr>
        <w:t>T</w:t>
      </w:r>
      <w:r w:rsidR="00400D02" w:rsidRPr="00E7652A">
        <w:rPr>
          <w:szCs w:val="24"/>
        </w:rPr>
        <w:t>h</w:t>
      </w:r>
      <w:r w:rsidR="00333013" w:rsidRPr="00E7652A">
        <w:rPr>
          <w:szCs w:val="24"/>
        </w:rPr>
        <w:t>o</w:t>
      </w:r>
      <w:r w:rsidR="00400D02" w:rsidRPr="00E7652A">
        <w:rPr>
          <w:szCs w:val="24"/>
        </w:rPr>
        <w:t xml:space="preserve">se exemptions are </w:t>
      </w:r>
      <w:r w:rsidR="00333013" w:rsidRPr="007C73D4">
        <w:rPr>
          <w:szCs w:val="24"/>
        </w:rPr>
        <w:t>therefore</w:t>
      </w:r>
      <w:r w:rsidR="00333013" w:rsidRPr="00E7652A">
        <w:rPr>
          <w:szCs w:val="24"/>
        </w:rPr>
        <w:t xml:space="preserve"> </w:t>
      </w:r>
      <w:r w:rsidR="00400D02" w:rsidRPr="00E7652A">
        <w:rPr>
          <w:szCs w:val="24"/>
        </w:rPr>
        <w:t xml:space="preserve">not justified and should be </w:t>
      </w:r>
      <w:r w:rsidR="004E47E5" w:rsidRPr="00E7652A">
        <w:rPr>
          <w:szCs w:val="24"/>
        </w:rPr>
        <w:t>deleted</w:t>
      </w:r>
      <w:r w:rsidR="00400D02" w:rsidRPr="00E7652A">
        <w:rPr>
          <w:szCs w:val="24"/>
        </w:rPr>
        <w:t>.</w:t>
      </w:r>
    </w:p>
    <w:p w14:paraId="21D6118F" w14:textId="6B0436C1" w:rsidR="002B7F08" w:rsidRDefault="002B7F08" w:rsidP="00015D53">
      <w:pPr>
        <w:pStyle w:val="Considrant"/>
      </w:pPr>
      <w:r>
        <w:t xml:space="preserve">For the uses of DEHP, BBP, DBP </w:t>
      </w:r>
      <w:r w:rsidRPr="004F4470">
        <w:t>and DIBP</w:t>
      </w:r>
      <w:r>
        <w:t xml:space="preserve"> that will no longer be exempted from the authorisation requirement, it is appropriate to indicate </w:t>
      </w:r>
      <w:r w:rsidRPr="00A40DB3">
        <w:t xml:space="preserve">the </w:t>
      </w:r>
      <w:r w:rsidRPr="004201AF">
        <w:t xml:space="preserve">dates referred to in </w:t>
      </w:r>
      <w:r w:rsidR="00C073D8">
        <w:t>point (i) of</w:t>
      </w:r>
      <w:r w:rsidR="00491628">
        <w:t xml:space="preserve"> </w:t>
      </w:r>
      <w:r w:rsidRPr="004201AF">
        <w:t>Article 58(1)(c)</w:t>
      </w:r>
      <w:r w:rsidRPr="004201AF">
        <w:rPr>
          <w:noProof/>
        </w:rPr>
        <w:t xml:space="preserve"> of Regulation (E</w:t>
      </w:r>
      <w:r>
        <w:rPr>
          <w:noProof/>
        </w:rPr>
        <w:t>C) No 1907/2006, taking into account the</w:t>
      </w:r>
      <w:r w:rsidRPr="004226ED">
        <w:t xml:space="preserve"> Agency's recommendation of </w:t>
      </w:r>
      <w:r>
        <w:t>10 July 2019</w:t>
      </w:r>
      <w:r w:rsidR="00F56B9B">
        <w:t xml:space="preserve"> and its capacity to handle applications</w:t>
      </w:r>
      <w:r w:rsidR="00F54CB5">
        <w:t xml:space="preserve"> for authorisations</w:t>
      </w:r>
      <w:r w:rsidRPr="004226ED">
        <w:t>.</w:t>
      </w:r>
      <w:r>
        <w:t xml:space="preserve"> </w:t>
      </w:r>
      <w:r w:rsidRPr="00E7652A">
        <w:t>As regards uses of DEHP in medical devices, the dates should also</w:t>
      </w:r>
      <w:r>
        <w:t xml:space="preserve"> take into account the transitional </w:t>
      </w:r>
      <w:r w:rsidR="009551F2">
        <w:t>provisions</w:t>
      </w:r>
      <w:r>
        <w:t xml:space="preserve"> for the application of Regulation</w:t>
      </w:r>
      <w:r w:rsidR="000417D6">
        <w:t>s</w:t>
      </w:r>
      <w:r>
        <w:t xml:space="preserve"> (EU) 2017/745</w:t>
      </w:r>
      <w:r w:rsidR="000417D6">
        <w:rPr>
          <w:rStyle w:val="FootnoteReference"/>
        </w:rPr>
        <w:footnoteReference w:id="14"/>
      </w:r>
      <w:r w:rsidR="00A83587">
        <w:t xml:space="preserve"> and </w:t>
      </w:r>
      <w:r w:rsidR="00A141E2">
        <w:t xml:space="preserve">(EU) </w:t>
      </w:r>
      <w:r w:rsidR="00A83587">
        <w:t>2017/746</w:t>
      </w:r>
      <w:r w:rsidR="00313ED1">
        <w:rPr>
          <w:rStyle w:val="FootnoteReference"/>
        </w:rPr>
        <w:footnoteReference w:id="15"/>
      </w:r>
      <w:r w:rsidR="000417D6">
        <w:t xml:space="preserve"> of the European Parliament and of the Council</w:t>
      </w:r>
      <w:r w:rsidR="009551F2">
        <w:t>.</w:t>
      </w:r>
    </w:p>
    <w:p w14:paraId="2C6C5505" w14:textId="54DEB919" w:rsidR="002B7F08" w:rsidRPr="0084010F" w:rsidRDefault="002B7F08" w:rsidP="002B7F08">
      <w:pPr>
        <w:pStyle w:val="Considrant"/>
      </w:pPr>
      <w:r w:rsidRPr="004226ED">
        <w:t xml:space="preserve">For each of </w:t>
      </w:r>
      <w:r w:rsidR="00D408D7">
        <w:t>the</w:t>
      </w:r>
      <w:r w:rsidRPr="004226ED">
        <w:t xml:space="preserve"> </w:t>
      </w:r>
      <w:r>
        <w:t xml:space="preserve">uses of DEHP, BBP, DBP </w:t>
      </w:r>
      <w:r w:rsidRPr="004F4470">
        <w:t>and DIBP</w:t>
      </w:r>
      <w:r>
        <w:t xml:space="preserve"> </w:t>
      </w:r>
      <w:r w:rsidR="00D408D7">
        <w:t xml:space="preserve">that will no longer be exempted from the authorisation requirement, </w:t>
      </w:r>
      <w:r>
        <w:t xml:space="preserve">there are no reasons </w:t>
      </w:r>
      <w:r w:rsidR="00951865">
        <w:t xml:space="preserve">for which </w:t>
      </w:r>
      <w:r w:rsidRPr="004226ED">
        <w:t xml:space="preserve">the date referred to in </w:t>
      </w:r>
      <w:r w:rsidR="00E62C90">
        <w:t xml:space="preserve">point (ii) of </w:t>
      </w:r>
      <w:r w:rsidRPr="004226ED">
        <w:t>Article 58(1)(c) of Regulation (EC) No 1907/2006</w:t>
      </w:r>
      <w:r>
        <w:t xml:space="preserve"> should be set </w:t>
      </w:r>
      <w:r w:rsidR="00F56B9B">
        <w:t>earlier</w:t>
      </w:r>
      <w:r>
        <w:t xml:space="preserve"> than 18 </w:t>
      </w:r>
      <w:r w:rsidRPr="004226ED">
        <w:t xml:space="preserve">months </w:t>
      </w:r>
      <w:r w:rsidR="00BF3917">
        <w:t>tha</w:t>
      </w:r>
      <w:r w:rsidR="00F56B9B">
        <w:t>n</w:t>
      </w:r>
      <w:r w:rsidRPr="004226ED">
        <w:t xml:space="preserve"> the </w:t>
      </w:r>
      <w:r w:rsidRPr="0084010F">
        <w:t>date referred to in Article</w:t>
      </w:r>
      <w:r w:rsidR="0084010F" w:rsidRPr="00400D02">
        <w:t xml:space="preserve"> point</w:t>
      </w:r>
      <w:r w:rsidRPr="0084010F">
        <w:t xml:space="preserve"> </w:t>
      </w:r>
      <w:r w:rsidR="002329B8" w:rsidRPr="0084010F">
        <w:t xml:space="preserve">(i) </w:t>
      </w:r>
      <w:r w:rsidRPr="0084010F">
        <w:t>58(1)(c) of that Regulation.</w:t>
      </w:r>
    </w:p>
    <w:p w14:paraId="530671E3" w14:textId="6088A67E" w:rsidR="005A7198" w:rsidRPr="0084010F" w:rsidRDefault="009F4F44" w:rsidP="009F4F44">
      <w:pPr>
        <w:pStyle w:val="Considrant"/>
      </w:pPr>
      <w:r>
        <w:t>During the public consultation</w:t>
      </w:r>
      <w:r w:rsidRPr="00401C41">
        <w:t xml:space="preserve"> </w:t>
      </w:r>
      <w:r>
        <w:t>conducted by the Agency on its draft recommendation</w:t>
      </w:r>
      <w:r w:rsidR="00014C52">
        <w:t>,</w:t>
      </w:r>
      <w:r>
        <w:t xml:space="preserve"> no specific comments were submitted with regard to possible exemptions </w:t>
      </w:r>
      <w:r w:rsidRPr="00401C41">
        <w:t>for product and process orientated research and development</w:t>
      </w:r>
      <w:r>
        <w:t xml:space="preserve">. </w:t>
      </w:r>
      <w:r w:rsidR="00F606B7">
        <w:t>A</w:t>
      </w:r>
      <w:r>
        <w:t xml:space="preserve">s </w:t>
      </w:r>
      <w:r w:rsidRPr="00401C41">
        <w:t xml:space="preserve">there is no information justifying the need for </w:t>
      </w:r>
      <w:r w:rsidR="00F606B7">
        <w:t xml:space="preserve">such </w:t>
      </w:r>
      <w:r w:rsidRPr="00401C41">
        <w:t xml:space="preserve">an exemption, </w:t>
      </w:r>
      <w:r w:rsidR="0084010F">
        <w:t>the exemption</w:t>
      </w:r>
      <w:r w:rsidRPr="0084010F">
        <w:t xml:space="preserve"> </w:t>
      </w:r>
      <w:r w:rsidR="00F606B7" w:rsidRPr="0084010F">
        <w:t xml:space="preserve">was not </w:t>
      </w:r>
      <w:r w:rsidRPr="0084010F">
        <w:t>consider</w:t>
      </w:r>
      <w:r w:rsidR="00F606B7" w:rsidRPr="0084010F">
        <w:t>ed</w:t>
      </w:r>
      <w:r w:rsidRPr="0084010F">
        <w:t xml:space="preserve">. </w:t>
      </w:r>
      <w:r w:rsidR="005A7198" w:rsidRPr="0084010F">
        <w:t xml:space="preserve"> </w:t>
      </w:r>
    </w:p>
    <w:p w14:paraId="394BFFD6" w14:textId="4A96F7B5" w:rsidR="005A7198" w:rsidRDefault="009F4F44" w:rsidP="005A7198">
      <w:pPr>
        <w:pStyle w:val="Considrant"/>
      </w:pPr>
      <w:r w:rsidRPr="00401C41">
        <w:t xml:space="preserve">As the available information on the </w:t>
      </w:r>
      <w:r w:rsidR="00500915">
        <w:t xml:space="preserve">uses of the substances concerned by this Regulation </w:t>
      </w:r>
      <w:r w:rsidRPr="00401C41">
        <w:t xml:space="preserve">is limited, it is not appropriate to set review periods at this stage, pursuant to </w:t>
      </w:r>
      <w:r w:rsidR="00026F97">
        <w:t xml:space="preserve">point (d) of </w:t>
      </w:r>
      <w:r w:rsidRPr="00401C41">
        <w:t>Article 58(1) o</w:t>
      </w:r>
      <w:r>
        <w:t>f Regulation (EC) No 1907/2006</w:t>
      </w:r>
      <w:r w:rsidR="005A7198" w:rsidRPr="004226ED">
        <w:t>.</w:t>
      </w:r>
      <w:r w:rsidR="005A7198">
        <w:t xml:space="preserve"> </w:t>
      </w:r>
    </w:p>
    <w:p w14:paraId="2EE2DCB1" w14:textId="375F229C" w:rsidR="00C24864" w:rsidRPr="00A01AA1" w:rsidRDefault="00C24864" w:rsidP="00C24864">
      <w:pPr>
        <w:pStyle w:val="Considrant"/>
      </w:pPr>
      <w:r w:rsidRPr="001611BE">
        <w:t>Regulation (EC) No 1907/2006 should therefore be amended accordingly.</w:t>
      </w:r>
    </w:p>
    <w:p w14:paraId="33A27D93" w14:textId="1CA9C6A7" w:rsidR="005A7198" w:rsidRPr="00A01AA1" w:rsidRDefault="005A7198" w:rsidP="005A7198">
      <w:pPr>
        <w:pStyle w:val="Considrant"/>
      </w:pPr>
      <w:r w:rsidRPr="00A01AA1">
        <w:t>The measures provided for in this Regulation are in accordance with the opinion of the Committee</w:t>
      </w:r>
      <w:r>
        <w:t xml:space="preserve"> </w:t>
      </w:r>
      <w:r w:rsidRPr="001611BE">
        <w:t xml:space="preserve">established </w:t>
      </w:r>
      <w:r w:rsidR="003B5DD5">
        <w:t>by</w:t>
      </w:r>
      <w:r w:rsidRPr="001611BE">
        <w:t xml:space="preserve"> Article 133 of Regulation (EC) No 1907/2006</w:t>
      </w:r>
      <w:r w:rsidRPr="00A01AA1">
        <w:t>,</w:t>
      </w:r>
    </w:p>
    <w:p w14:paraId="7BB83928" w14:textId="77777777" w:rsidR="005A7198" w:rsidRPr="00A01AA1" w:rsidRDefault="005A7198" w:rsidP="001C3314">
      <w:pPr>
        <w:pStyle w:val="Formuledadoption"/>
      </w:pPr>
      <w:r w:rsidRPr="00A01AA1">
        <w:t>HAS ADOPTED THIS REGULATION:</w:t>
      </w:r>
    </w:p>
    <w:p w14:paraId="65759BAE" w14:textId="77777777" w:rsidR="005A7198" w:rsidRPr="00A01AA1" w:rsidRDefault="005A7198" w:rsidP="001C3314">
      <w:pPr>
        <w:pStyle w:val="Titrearticle"/>
      </w:pPr>
      <w:r w:rsidRPr="00A01AA1">
        <w:t>Article 1</w:t>
      </w:r>
    </w:p>
    <w:p w14:paraId="6BE24EA1" w14:textId="77777777" w:rsidR="005A7198" w:rsidRPr="00A01AA1" w:rsidRDefault="005A7198" w:rsidP="005A7198">
      <w:r w:rsidRPr="00D9056A">
        <w:t>Annex XIV to Regulation (EC) No 1907/2006 is amended in accordance with the Annex to this Regulation.</w:t>
      </w:r>
    </w:p>
    <w:p w14:paraId="63EF7052" w14:textId="77777777" w:rsidR="005A7198" w:rsidRPr="00A01AA1" w:rsidRDefault="005A7198" w:rsidP="005A7198">
      <w:pPr>
        <w:pStyle w:val="Titrearticle"/>
      </w:pPr>
      <w:r w:rsidRPr="00A01AA1">
        <w:t xml:space="preserve">Article </w:t>
      </w:r>
      <w:r>
        <w:t>2</w:t>
      </w:r>
    </w:p>
    <w:p w14:paraId="73B4E11D" w14:textId="77777777" w:rsidR="005A7198" w:rsidRPr="00A01AA1" w:rsidRDefault="005A7198" w:rsidP="005A7198">
      <w:r w:rsidRPr="00A01AA1">
        <w:t xml:space="preserve">This Regulation shall enter into force </w:t>
      </w:r>
      <w:r w:rsidRPr="00C962A2">
        <w:t>on the twentieth day</w:t>
      </w:r>
      <w:r w:rsidRPr="00A01AA1">
        <w:t xml:space="preserve"> following that of its publication in the </w:t>
      </w:r>
      <w:r w:rsidRPr="00A01AA1">
        <w:rPr>
          <w:i/>
        </w:rPr>
        <w:t>Official Journal of the European Union</w:t>
      </w:r>
      <w:r w:rsidRPr="00A01AA1">
        <w:t>.</w:t>
      </w:r>
    </w:p>
    <w:p w14:paraId="42AE07C1" w14:textId="0900ABCB" w:rsidR="005A7198" w:rsidRDefault="005A7198" w:rsidP="00F404D5">
      <w:pPr>
        <w:pStyle w:val="Applicationdirecte"/>
      </w:pPr>
      <w:r w:rsidRPr="00A01AA1">
        <w:t>This Regulation shall be binding in its entirety and directly applicable in all Member States.</w:t>
      </w:r>
    </w:p>
    <w:p w14:paraId="296C4A10" w14:textId="1BC1F9B2" w:rsidR="005A7198" w:rsidRDefault="00484B36" w:rsidP="00484B36">
      <w:pPr>
        <w:pStyle w:val="Fait"/>
      </w:pPr>
      <w:r w:rsidRPr="00484B36">
        <w:t>Done at Brussels,</w:t>
      </w:r>
    </w:p>
    <w:p w14:paraId="3A61FE36" w14:textId="77777777" w:rsidR="005A7198" w:rsidRPr="00A5721D" w:rsidRDefault="005A7198" w:rsidP="005A7198">
      <w:pPr>
        <w:pStyle w:val="Institutionquisigne"/>
      </w:pPr>
      <w:r w:rsidRPr="005A7198">
        <w:tab/>
      </w:r>
      <w:r w:rsidRPr="00A5721D">
        <w:t>For the Commission</w:t>
      </w:r>
    </w:p>
    <w:p w14:paraId="5C623282" w14:textId="77777777" w:rsidR="005A7198" w:rsidRPr="005A7198" w:rsidRDefault="005A7198" w:rsidP="00876890">
      <w:pPr>
        <w:pStyle w:val="Personnequisigne"/>
      </w:pPr>
      <w:r w:rsidRPr="00A5721D">
        <w:tab/>
        <w:t>The President</w:t>
      </w:r>
      <w:r w:rsidRPr="00A5721D">
        <w:br/>
      </w:r>
      <w:r w:rsidRPr="00A5721D">
        <w:tab/>
      </w:r>
      <w:r>
        <w:t>Ursula VON DER LEYEN</w:t>
      </w:r>
    </w:p>
    <w:sectPr w:rsidR="005A7198" w:rsidRPr="005A7198" w:rsidSect="008660C0">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543F" w14:textId="77777777" w:rsidR="00A831EC" w:rsidRDefault="00A831EC" w:rsidP="005A7198">
      <w:pPr>
        <w:spacing w:before="0" w:after="0"/>
      </w:pPr>
      <w:r>
        <w:separator/>
      </w:r>
    </w:p>
  </w:endnote>
  <w:endnote w:type="continuationSeparator" w:id="0">
    <w:p w14:paraId="55098D81" w14:textId="77777777" w:rsidR="00A831EC" w:rsidRDefault="00A831EC" w:rsidP="005A71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CA7A" w14:textId="0A5E24BF" w:rsidR="005A7198" w:rsidRPr="008660C0" w:rsidRDefault="008660C0" w:rsidP="008660C0">
    <w:pPr>
      <w:pStyle w:val="Footer"/>
      <w:rPr>
        <w:rFonts w:ascii="Arial" w:hAnsi="Arial" w:cs="Arial"/>
        <w:b/>
        <w:sz w:val="48"/>
      </w:rPr>
    </w:pPr>
    <w:r w:rsidRPr="008660C0">
      <w:rPr>
        <w:rFonts w:ascii="Arial" w:hAnsi="Arial" w:cs="Arial"/>
        <w:b/>
        <w:sz w:val="48"/>
      </w:rPr>
      <w:t>EN</w:t>
    </w:r>
    <w:r w:rsidRPr="008660C0">
      <w:rPr>
        <w:rFonts w:ascii="Arial" w:hAnsi="Arial" w:cs="Arial"/>
        <w:b/>
        <w:sz w:val="48"/>
      </w:rPr>
      <w:tab/>
    </w:r>
    <w:r w:rsidRPr="008660C0">
      <w:rPr>
        <w:rFonts w:ascii="Arial" w:hAnsi="Arial" w:cs="Arial"/>
        <w:b/>
        <w:sz w:val="48"/>
      </w:rPr>
      <w:tab/>
    </w:r>
    <w:r w:rsidRPr="008660C0">
      <w:tab/>
    </w:r>
    <w:r w:rsidRPr="008660C0">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B4FD0" w14:textId="7BD2AD4D" w:rsidR="008660C0" w:rsidRPr="008660C0" w:rsidRDefault="008660C0" w:rsidP="008660C0">
    <w:pPr>
      <w:pStyle w:val="Footer"/>
      <w:rPr>
        <w:rFonts w:ascii="Arial" w:hAnsi="Arial" w:cs="Arial"/>
        <w:b/>
        <w:sz w:val="48"/>
      </w:rPr>
    </w:pPr>
    <w:r w:rsidRPr="008660C0">
      <w:rPr>
        <w:rFonts w:ascii="Arial" w:hAnsi="Arial" w:cs="Arial"/>
        <w:b/>
        <w:sz w:val="48"/>
      </w:rPr>
      <w:t>EN</w:t>
    </w:r>
    <w:r w:rsidRPr="008660C0">
      <w:rPr>
        <w:rFonts w:ascii="Arial" w:hAnsi="Arial" w:cs="Arial"/>
        <w:b/>
        <w:sz w:val="48"/>
      </w:rPr>
      <w:tab/>
    </w:r>
    <w:r>
      <w:fldChar w:fldCharType="begin"/>
    </w:r>
    <w:r>
      <w:instrText xml:space="preserve"> PAGE  \* MERGEFORMAT </w:instrText>
    </w:r>
    <w:r>
      <w:fldChar w:fldCharType="separate"/>
    </w:r>
    <w:r w:rsidR="00990B5C">
      <w:rPr>
        <w:noProof/>
      </w:rPr>
      <w:t>1</w:t>
    </w:r>
    <w:r>
      <w:fldChar w:fldCharType="end"/>
    </w:r>
    <w:r>
      <w:tab/>
    </w:r>
    <w:r w:rsidRPr="008660C0">
      <w:tab/>
    </w:r>
    <w:r w:rsidRPr="008660C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498E" w14:textId="77777777" w:rsidR="008660C0" w:rsidRPr="008660C0" w:rsidRDefault="008660C0" w:rsidP="0086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ED8B0" w14:textId="77777777" w:rsidR="00A831EC" w:rsidRDefault="00A831EC" w:rsidP="005A7198">
      <w:pPr>
        <w:spacing w:before="0" w:after="0"/>
      </w:pPr>
      <w:r>
        <w:separator/>
      </w:r>
    </w:p>
  </w:footnote>
  <w:footnote w:type="continuationSeparator" w:id="0">
    <w:p w14:paraId="0BF66D67" w14:textId="77777777" w:rsidR="00A831EC" w:rsidRDefault="00A831EC" w:rsidP="005A7198">
      <w:pPr>
        <w:spacing w:before="0" w:after="0"/>
      </w:pPr>
      <w:r>
        <w:continuationSeparator/>
      </w:r>
    </w:p>
  </w:footnote>
  <w:footnote w:id="1">
    <w:p w14:paraId="61FA8D0A" w14:textId="77777777" w:rsidR="005A7198" w:rsidRPr="0072224E" w:rsidRDefault="005A7198" w:rsidP="005A7198">
      <w:pPr>
        <w:pStyle w:val="FootnoteText"/>
      </w:pPr>
      <w:r>
        <w:rPr>
          <w:rStyle w:val="FootnoteReference"/>
        </w:rPr>
        <w:footnoteRef/>
      </w:r>
      <w:r w:rsidRPr="0072224E">
        <w:tab/>
        <w:t xml:space="preserve">OJ L 396, 30.12.2006, p. 1. </w:t>
      </w:r>
    </w:p>
  </w:footnote>
  <w:footnote w:id="2">
    <w:p w14:paraId="616D72FF" w14:textId="7B4860A6" w:rsidR="00EC43BA" w:rsidRPr="004E4DE6" w:rsidRDefault="00EC43BA" w:rsidP="00FB1A8D">
      <w:pPr>
        <w:pStyle w:val="FootnoteText"/>
        <w:rPr>
          <w:lang w:val="en-IE"/>
        </w:rPr>
      </w:pPr>
      <w:r w:rsidRPr="004C5E9E">
        <w:rPr>
          <w:rStyle w:val="FootnoteReference"/>
        </w:rPr>
        <w:footnoteRef/>
      </w:r>
      <w:r w:rsidR="004C5E9E" w:rsidRPr="004E4DE6">
        <w:rPr>
          <w:lang w:val="en-IE"/>
        </w:rPr>
        <w:tab/>
      </w:r>
      <w:r w:rsidR="00FB1A8D" w:rsidRPr="004E4DE6">
        <w:rPr>
          <w:lang w:val="en-IE"/>
        </w:rPr>
        <w:t>Decision by the Executive Director of ECHA</w:t>
      </w:r>
      <w:r w:rsidR="006F2E35" w:rsidRPr="004E4DE6">
        <w:rPr>
          <w:lang w:val="en-IE"/>
        </w:rPr>
        <w:t xml:space="preserve"> of 12 December 2014</w:t>
      </w:r>
      <w:r w:rsidR="00FB1A8D" w:rsidRPr="004E4DE6">
        <w:rPr>
          <w:lang w:val="en-IE"/>
        </w:rPr>
        <w:t>, Inclusion of Substances of Very High Concern in the Candidate List for eventual inclusion in Annex XIV</w:t>
      </w:r>
      <w:r w:rsidR="00CC78A9" w:rsidRPr="004E4DE6">
        <w:rPr>
          <w:lang w:val="en-IE"/>
        </w:rPr>
        <w:t>,</w:t>
      </w:r>
      <w:r w:rsidR="00BC530F" w:rsidRPr="004E4DE6">
        <w:rPr>
          <w:lang w:val="en-IE"/>
        </w:rPr>
        <w:t xml:space="preserve"> (ED/108/2014)</w:t>
      </w:r>
      <w:r w:rsidR="00C22087" w:rsidRPr="004E4DE6">
        <w:rPr>
          <w:lang w:val="en-IE"/>
        </w:rPr>
        <w:t xml:space="preserve"> </w:t>
      </w:r>
      <w:r w:rsidRPr="004E4DE6">
        <w:rPr>
          <w:lang w:val="en-IE"/>
        </w:rPr>
        <w:t>https://echa.europa.eu/documents/10162/30b654ce-1de3-487a-8696-e05617c3173b</w:t>
      </w:r>
    </w:p>
  </w:footnote>
  <w:footnote w:id="3">
    <w:p w14:paraId="19266CCA" w14:textId="72018970" w:rsidR="00C33A1B" w:rsidRPr="004E4DE6" w:rsidRDefault="00C33A1B">
      <w:pPr>
        <w:pStyle w:val="FootnoteText"/>
        <w:rPr>
          <w:lang w:val="en-IE"/>
        </w:rPr>
      </w:pPr>
      <w:r w:rsidRPr="00D73B1F">
        <w:rPr>
          <w:rStyle w:val="FootnoteReference"/>
        </w:rPr>
        <w:footnoteRef/>
      </w:r>
      <w:r w:rsidR="00D73B1F" w:rsidRPr="004E4DE6">
        <w:rPr>
          <w:lang w:val="en-IE"/>
        </w:rPr>
        <w:tab/>
      </w:r>
      <w:r w:rsidRPr="004E4DE6">
        <w:rPr>
          <w:lang w:val="en-IE"/>
        </w:rPr>
        <w:t xml:space="preserve">Commission Implementing Decision (EU) 2017/1210 of 4 July 2017 on the identification of bis(2-ethylhexyl)  phthalate (DEHP), dibutyl phthalate (DBP), benzyl butyl phthalate (BBP) and diisobutyl phthalate (DIBP) as substances of very high concern according to Article 57(f) of Regulation (EC) No 1907/2006 of the European Parliament and of the Council </w:t>
      </w:r>
      <w:r w:rsidR="00FA03AC" w:rsidRPr="004E4DE6">
        <w:rPr>
          <w:lang w:val="en-IE"/>
        </w:rPr>
        <w:t>(</w:t>
      </w:r>
      <w:r w:rsidRPr="004E4DE6">
        <w:rPr>
          <w:lang w:val="en-IE"/>
        </w:rPr>
        <w:t>OJ L 173, 6.7.2017, p. 35</w:t>
      </w:r>
      <w:r w:rsidR="00FA03AC" w:rsidRPr="004E4DE6">
        <w:rPr>
          <w:lang w:val="en-IE"/>
        </w:rPr>
        <w:t>)</w:t>
      </w:r>
      <w:r w:rsidRPr="004E4DE6">
        <w:rPr>
          <w:lang w:val="en-IE"/>
        </w:rPr>
        <w:t>.</w:t>
      </w:r>
    </w:p>
  </w:footnote>
  <w:footnote w:id="4">
    <w:p w14:paraId="488481EA" w14:textId="77777777" w:rsidR="00E74DDF" w:rsidRPr="00400D02" w:rsidRDefault="00E74DDF" w:rsidP="00E74DDF">
      <w:pPr>
        <w:pStyle w:val="FootnoteText"/>
        <w:rPr>
          <w:lang w:val="en-IE"/>
        </w:rPr>
      </w:pPr>
      <w:r>
        <w:rPr>
          <w:rStyle w:val="FootnoteReference"/>
        </w:rPr>
        <w:footnoteRef/>
      </w:r>
      <w:r w:rsidRPr="00400D02">
        <w:rPr>
          <w:lang w:val="en-IE"/>
        </w:rPr>
        <w:tab/>
        <w:t xml:space="preserve">Recommendation of the European Chemicals Agency  of 10 July 2019 to amend the Annex XIV entries to REACH  of DEHP, BBP, DBP and DIBP  (List of Substances subject to Authorisation), </w:t>
      </w:r>
    </w:p>
    <w:p w14:paraId="1E78B737" w14:textId="77777777" w:rsidR="00E74DDF" w:rsidRPr="004E4DE6" w:rsidRDefault="00E74DDF" w:rsidP="00E74DDF">
      <w:pPr>
        <w:pStyle w:val="FootnoteText"/>
        <w:rPr>
          <w:lang w:val="en-IE"/>
        </w:rPr>
      </w:pPr>
      <w:r w:rsidRPr="00400D02">
        <w:rPr>
          <w:lang w:val="en-IE"/>
        </w:rPr>
        <w:t xml:space="preserve"> </w:t>
      </w:r>
      <w:hyperlink r:id="rId1" w:history="1">
        <w:r w:rsidRPr="00400D02">
          <w:rPr>
            <w:rStyle w:val="Hyperlink"/>
            <w:lang w:val="en-IE"/>
          </w:rPr>
          <w:t>https://echa.europa.eu/documents/10162/13640/axiv_amend_recommendation_phthalates_july2019_en.pdf/1889866a-bec3-fe16-6322-67c16a13b09d</w:t>
        </w:r>
      </w:hyperlink>
    </w:p>
  </w:footnote>
  <w:footnote w:id="5">
    <w:p w14:paraId="15635397" w14:textId="5ED86A25" w:rsidR="00F83E84" w:rsidRDefault="00F83E84">
      <w:pPr>
        <w:pStyle w:val="FootnoteText"/>
      </w:pPr>
      <w:r>
        <w:rPr>
          <w:rStyle w:val="FootnoteReference"/>
        </w:rPr>
        <w:footnoteRef/>
      </w:r>
      <w:r>
        <w:tab/>
        <w:t>Council Directive 90/385/EEC of 20 June 1990 on the approximation of the laws of the Member States relating to active implantable medical devices (OJ L 189, 20.7.1990, p. 17).</w:t>
      </w:r>
    </w:p>
  </w:footnote>
  <w:footnote w:id="6">
    <w:p w14:paraId="5ED822C7" w14:textId="3815B71A" w:rsidR="00F83E84" w:rsidRDefault="00F83E84">
      <w:pPr>
        <w:pStyle w:val="FootnoteText"/>
      </w:pPr>
      <w:r>
        <w:rPr>
          <w:rStyle w:val="FootnoteReference"/>
        </w:rPr>
        <w:footnoteRef/>
      </w:r>
      <w:r>
        <w:tab/>
        <w:t>Council Directive 93/42/EEC of 14 June 1993 concerning medical devices (OJ L 169, 12.7.1993, p. 1).</w:t>
      </w:r>
    </w:p>
  </w:footnote>
  <w:footnote w:id="7">
    <w:p w14:paraId="13CBF1DC" w14:textId="4B4B5D0D" w:rsidR="00783AC9" w:rsidRDefault="00783AC9">
      <w:pPr>
        <w:pStyle w:val="FootnoteText"/>
      </w:pPr>
      <w:r>
        <w:rPr>
          <w:rStyle w:val="FootnoteReference"/>
        </w:rPr>
        <w:footnoteRef/>
      </w:r>
      <w:r>
        <w:tab/>
        <w:t xml:space="preserve">Directive 98/79/EC of the European Parliament and of the Council of 27 October 1998 on </w:t>
      </w:r>
      <w:r w:rsidRPr="004820F0">
        <w:rPr>
          <w:i/>
        </w:rPr>
        <w:t>in vitro</w:t>
      </w:r>
      <w:r>
        <w:t xml:space="preserve"> diagnostic medical devices (OJ L 331, 7.12.1998, p. 1).</w:t>
      </w:r>
    </w:p>
  </w:footnote>
  <w:footnote w:id="8">
    <w:p w14:paraId="451444A1" w14:textId="297BED6C" w:rsidR="00E122A1" w:rsidRPr="00E122A1" w:rsidRDefault="00E122A1">
      <w:pPr>
        <w:pStyle w:val="FootnoteText"/>
      </w:pPr>
      <w:r w:rsidRPr="00F20C9E">
        <w:rPr>
          <w:rStyle w:val="FootnoteReference"/>
        </w:rPr>
        <w:footnoteRef/>
      </w:r>
      <w:r w:rsidR="004C5E9E" w:rsidRPr="00F20C9E">
        <w:tab/>
      </w:r>
      <w:r w:rsidRPr="00D408D7">
        <w:t xml:space="preserve">Regulation (EC) No 1935/2004 of the European Parliament and of the Council of 27 October 2004 on materials and articles intended to come into contact with food and repealing Directives 80/590/EEC and 89/109/EEC </w:t>
      </w:r>
      <w:r w:rsidR="00345F2F" w:rsidRPr="00D408D7">
        <w:t>(</w:t>
      </w:r>
      <w:r w:rsidRPr="00D408D7">
        <w:t>OJ L 338, 13.11.2004, p. 4</w:t>
      </w:r>
      <w:r w:rsidR="00345F2F" w:rsidRPr="00D408D7">
        <w:t>).</w:t>
      </w:r>
    </w:p>
  </w:footnote>
  <w:footnote w:id="9">
    <w:p w14:paraId="2DDB305B" w14:textId="660C1969" w:rsidR="00D95D12" w:rsidRPr="00FA03AC" w:rsidRDefault="00D95D12" w:rsidP="00D95D12">
      <w:pPr>
        <w:pStyle w:val="FootnoteText"/>
      </w:pPr>
      <w:r w:rsidRPr="004C5E9E">
        <w:rPr>
          <w:rStyle w:val="FootnoteReference"/>
        </w:rPr>
        <w:footnoteRef/>
      </w:r>
      <w:r w:rsidR="004C5E9E">
        <w:tab/>
      </w:r>
      <w:r>
        <w:t>Commission Regulation (EU) No 143/2011 of 17 February 2011 amending Annex XIV to Regulation (EC) No 1907/2006 of the European Parliament and of the Council on the Registration, Evaluation, Authorisation and Restriction of Chemicals (‘REACH’) (OJ L 44, 18.2.2011, p. 2).</w:t>
      </w:r>
    </w:p>
  </w:footnote>
  <w:footnote w:id="10">
    <w:p w14:paraId="571A7DAE" w14:textId="338E2023" w:rsidR="00CC5047" w:rsidRPr="00CC5047" w:rsidRDefault="00CC5047">
      <w:pPr>
        <w:pStyle w:val="FootnoteText"/>
      </w:pPr>
      <w:r w:rsidRPr="0090728E">
        <w:rPr>
          <w:rStyle w:val="FootnoteReference"/>
        </w:rPr>
        <w:footnoteRef/>
      </w:r>
      <w:r w:rsidR="0090728E">
        <w:tab/>
      </w:r>
      <w:r w:rsidRPr="00CC5047">
        <w:t>Regulation (EC) No 726/2004 of the European Parliament and of the Council of 31 March 2004 laying down Community procedures for the authorisation and supervision of medicinal products for human and veterinary use and establishing a European Medicines Agency</w:t>
      </w:r>
      <w:r>
        <w:t xml:space="preserve"> (OJ </w:t>
      </w:r>
      <w:r w:rsidRPr="004820F0">
        <w:t>L 13</w:t>
      </w:r>
      <w:r w:rsidR="004820F0">
        <w:t>6</w:t>
      </w:r>
      <w:r w:rsidRPr="004820F0">
        <w:t>, 30.4.2004</w:t>
      </w:r>
      <w:r w:rsidR="004820F0">
        <w:t>,</w:t>
      </w:r>
      <w:r w:rsidRPr="004820F0">
        <w:t xml:space="preserve"> p. 1).</w:t>
      </w:r>
    </w:p>
  </w:footnote>
  <w:footnote w:id="11">
    <w:p w14:paraId="532C40CE" w14:textId="6E73B002" w:rsidR="000812C7" w:rsidRDefault="000812C7">
      <w:pPr>
        <w:pStyle w:val="FootnoteText"/>
      </w:pPr>
      <w:r w:rsidRPr="0090728E">
        <w:rPr>
          <w:rStyle w:val="FootnoteReference"/>
        </w:rPr>
        <w:footnoteRef/>
      </w:r>
      <w:r w:rsidR="0090728E">
        <w:tab/>
      </w:r>
      <w:r w:rsidRPr="000812C7">
        <w:t>Directive 2001/82/EC of the European Parliament and of the Council of 6 November 2001 on the Community code relating to veterinary medicinal products</w:t>
      </w:r>
      <w:r>
        <w:t xml:space="preserve"> (OJ </w:t>
      </w:r>
      <w:r w:rsidRPr="00D408D7">
        <w:t>L 311, 28.11.2001 p</w:t>
      </w:r>
      <w:r w:rsidR="005F208B">
        <w:t>.</w:t>
      </w:r>
      <w:r w:rsidRPr="00D408D7">
        <w:t xml:space="preserve"> 1).</w:t>
      </w:r>
    </w:p>
  </w:footnote>
  <w:footnote w:id="12">
    <w:p w14:paraId="010C014F" w14:textId="67344000" w:rsidR="00207C25" w:rsidRDefault="00207C25" w:rsidP="00207C25">
      <w:pPr>
        <w:pStyle w:val="FootnoteText"/>
      </w:pPr>
      <w:r w:rsidRPr="0090728E">
        <w:rPr>
          <w:rStyle w:val="FootnoteReference"/>
        </w:rPr>
        <w:footnoteRef/>
      </w:r>
      <w:r w:rsidR="0090728E">
        <w:tab/>
      </w:r>
      <w:r>
        <w:t>Directive 2001/83/EC of the European Parliament and of the Council of 6 November 2001 on the Community code relating to medicinal products for human use (OJ L 311, 28.11.2001 p. 67).</w:t>
      </w:r>
    </w:p>
  </w:footnote>
  <w:footnote w:id="13">
    <w:p w14:paraId="2701440C" w14:textId="21D2B36B" w:rsidR="003A5D5B" w:rsidRPr="00D408D7" w:rsidRDefault="003A5D5B">
      <w:pPr>
        <w:pStyle w:val="FootnoteText"/>
        <w:rPr>
          <w:lang w:val="de-DE"/>
        </w:rPr>
      </w:pPr>
      <w:r w:rsidRPr="004C5E9E">
        <w:rPr>
          <w:rStyle w:val="FootnoteReference"/>
        </w:rPr>
        <w:footnoteRef/>
      </w:r>
      <w:r w:rsidR="004C5E9E" w:rsidRPr="004820F0">
        <w:rPr>
          <w:lang w:val="de-DE"/>
        </w:rPr>
        <w:tab/>
      </w:r>
      <w:r w:rsidRPr="00D408D7">
        <w:rPr>
          <w:lang w:val="de-DE"/>
        </w:rPr>
        <w:t xml:space="preserve">Judgment of the Court of Justice of 13 July 2017, </w:t>
      </w:r>
      <w:r w:rsidRPr="00D408D7">
        <w:rPr>
          <w:i/>
          <w:lang w:val="de-DE"/>
        </w:rPr>
        <w:t>Verein zur Wahrung von Einsatz und Nutzung von Chromtrioxid und anderen Chrom-VI-Verbindungen in der Oberflächentechnik eV (VECCO) and Others</w:t>
      </w:r>
      <w:r w:rsidR="00666C59" w:rsidRPr="00D408D7">
        <w:rPr>
          <w:rFonts w:ascii="Arial" w:hAnsi="Arial" w:cs="Arial"/>
          <w:b/>
          <w:bCs/>
          <w:color w:val="334D55"/>
          <w:lang w:val="de-DE"/>
        </w:rPr>
        <w:t xml:space="preserve"> </w:t>
      </w:r>
      <w:r w:rsidR="00666C59" w:rsidRPr="00D408D7">
        <w:rPr>
          <w:i/>
          <w:lang w:val="de-DE"/>
        </w:rPr>
        <w:t>v European Commission</w:t>
      </w:r>
      <w:r w:rsidRPr="00D408D7">
        <w:rPr>
          <w:lang w:val="de-DE"/>
        </w:rPr>
        <w:t>, C-651/15 P, ECLI:EU:C:2017:543.</w:t>
      </w:r>
    </w:p>
  </w:footnote>
  <w:footnote w:id="14">
    <w:p w14:paraId="50A32FE6" w14:textId="5A8822D4" w:rsidR="000417D6" w:rsidRDefault="000417D6" w:rsidP="000417D6">
      <w:pPr>
        <w:pStyle w:val="FootnoteText"/>
      </w:pPr>
      <w:r w:rsidRPr="0090728E">
        <w:rPr>
          <w:rStyle w:val="FootnoteReference"/>
        </w:rPr>
        <w:footnoteRef/>
      </w:r>
      <w:r w:rsidR="0090728E">
        <w:tab/>
      </w:r>
      <w:r>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15">
    <w:p w14:paraId="4F1F8A65" w14:textId="33AD0F42" w:rsidR="00313ED1" w:rsidRDefault="00313ED1" w:rsidP="00313ED1">
      <w:pPr>
        <w:pStyle w:val="FootnoteText"/>
      </w:pPr>
      <w:r w:rsidRPr="0090728E">
        <w:rPr>
          <w:rStyle w:val="FootnoteReference"/>
        </w:rPr>
        <w:footnoteRef/>
      </w:r>
      <w:r w:rsidR="0090728E">
        <w:tab/>
      </w:r>
      <w:r>
        <w:t>Regulation (EU) 2017/746 of the European Parliament and of the Council of 5 April 2017 on in vitro diagnostic medical devices and repealing Directive 98/79/EC and Commission Decision 2010/227/EU (OJ L 117, 5.5.2017, p. 176).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E44C5E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D27449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540CB35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1C8933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E1E67F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E1ED92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EDAFA5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C6D8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6 11:27: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VERPAGE_EXISTS" w:val="True"/>
    <w:docVar w:name="LW_COVERPAGE_GUID" w:val="B07A35EA-A1CC-4627-9F30-0A7394994B24"/>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IV to Regulation (EU) No 1907/2006 of the European Parliament and of the Council concerning the Registration, Evaluation, Authorisation and Restriction of Chemicals (REACH)"/>
    <w:docVar w:name="LW_TYPE.DOC.CP" w:val="COMMISSION REGULATION (EU) \u8230?/\u8230?"/>
  </w:docVars>
  <w:rsids>
    <w:rsidRoot w:val="005A7198"/>
    <w:rsid w:val="00014C52"/>
    <w:rsid w:val="00022B12"/>
    <w:rsid w:val="00026F97"/>
    <w:rsid w:val="00036B54"/>
    <w:rsid w:val="000417D6"/>
    <w:rsid w:val="000420F1"/>
    <w:rsid w:val="000450F8"/>
    <w:rsid w:val="00065EFC"/>
    <w:rsid w:val="00066C36"/>
    <w:rsid w:val="000742F7"/>
    <w:rsid w:val="000812C7"/>
    <w:rsid w:val="00083A45"/>
    <w:rsid w:val="00085DEE"/>
    <w:rsid w:val="000A7517"/>
    <w:rsid w:val="000B067B"/>
    <w:rsid w:val="000B0689"/>
    <w:rsid w:val="000C29B2"/>
    <w:rsid w:val="000C5D0B"/>
    <w:rsid w:val="000C6528"/>
    <w:rsid w:val="000D7236"/>
    <w:rsid w:val="000E198E"/>
    <w:rsid w:val="000E2988"/>
    <w:rsid w:val="000F67C4"/>
    <w:rsid w:val="000F6FB7"/>
    <w:rsid w:val="00107B68"/>
    <w:rsid w:val="00117417"/>
    <w:rsid w:val="00130B3D"/>
    <w:rsid w:val="00144432"/>
    <w:rsid w:val="0014471B"/>
    <w:rsid w:val="00151B03"/>
    <w:rsid w:val="00152DCD"/>
    <w:rsid w:val="00157276"/>
    <w:rsid w:val="00170DD8"/>
    <w:rsid w:val="00171DFE"/>
    <w:rsid w:val="0017352B"/>
    <w:rsid w:val="00185DF0"/>
    <w:rsid w:val="001870B9"/>
    <w:rsid w:val="0019472C"/>
    <w:rsid w:val="001A3B1E"/>
    <w:rsid w:val="001C2816"/>
    <w:rsid w:val="001D4454"/>
    <w:rsid w:val="001D582C"/>
    <w:rsid w:val="001E2C05"/>
    <w:rsid w:val="001F1830"/>
    <w:rsid w:val="001F4CA9"/>
    <w:rsid w:val="001F646D"/>
    <w:rsid w:val="00207C25"/>
    <w:rsid w:val="002329B8"/>
    <w:rsid w:val="00236532"/>
    <w:rsid w:val="00242026"/>
    <w:rsid w:val="00243854"/>
    <w:rsid w:val="00243A5C"/>
    <w:rsid w:val="002815BC"/>
    <w:rsid w:val="00287013"/>
    <w:rsid w:val="00295233"/>
    <w:rsid w:val="002A02E6"/>
    <w:rsid w:val="002A256A"/>
    <w:rsid w:val="002A676D"/>
    <w:rsid w:val="002B7F08"/>
    <w:rsid w:val="002C06C3"/>
    <w:rsid w:val="002C0A0D"/>
    <w:rsid w:val="002C17CF"/>
    <w:rsid w:val="002D0A91"/>
    <w:rsid w:val="002D107A"/>
    <w:rsid w:val="002E2C15"/>
    <w:rsid w:val="002F2B33"/>
    <w:rsid w:val="002F4EA4"/>
    <w:rsid w:val="002F4EC4"/>
    <w:rsid w:val="002F7713"/>
    <w:rsid w:val="00313ED1"/>
    <w:rsid w:val="00333013"/>
    <w:rsid w:val="003345D2"/>
    <w:rsid w:val="0034419B"/>
    <w:rsid w:val="00345F2F"/>
    <w:rsid w:val="00350A88"/>
    <w:rsid w:val="003515BF"/>
    <w:rsid w:val="00352A45"/>
    <w:rsid w:val="00353481"/>
    <w:rsid w:val="00353F06"/>
    <w:rsid w:val="00371685"/>
    <w:rsid w:val="00394589"/>
    <w:rsid w:val="003A5D5B"/>
    <w:rsid w:val="003A6744"/>
    <w:rsid w:val="003B29AC"/>
    <w:rsid w:val="003B53B1"/>
    <w:rsid w:val="003B5DD5"/>
    <w:rsid w:val="003D345C"/>
    <w:rsid w:val="003D3F1E"/>
    <w:rsid w:val="003F4F30"/>
    <w:rsid w:val="00400D02"/>
    <w:rsid w:val="00413556"/>
    <w:rsid w:val="004135A4"/>
    <w:rsid w:val="00427C6A"/>
    <w:rsid w:val="0043554C"/>
    <w:rsid w:val="0044263F"/>
    <w:rsid w:val="00444679"/>
    <w:rsid w:val="004474F2"/>
    <w:rsid w:val="00464C29"/>
    <w:rsid w:val="004758A8"/>
    <w:rsid w:val="004820F0"/>
    <w:rsid w:val="00484B36"/>
    <w:rsid w:val="0048775B"/>
    <w:rsid w:val="00491628"/>
    <w:rsid w:val="004A3325"/>
    <w:rsid w:val="004A4701"/>
    <w:rsid w:val="004B42E3"/>
    <w:rsid w:val="004C5E9E"/>
    <w:rsid w:val="004E47E5"/>
    <w:rsid w:val="004E4DE6"/>
    <w:rsid w:val="004E52C1"/>
    <w:rsid w:val="004F4470"/>
    <w:rsid w:val="00500915"/>
    <w:rsid w:val="005058E2"/>
    <w:rsid w:val="00516878"/>
    <w:rsid w:val="005260C5"/>
    <w:rsid w:val="005426FE"/>
    <w:rsid w:val="00544215"/>
    <w:rsid w:val="005538B8"/>
    <w:rsid w:val="00556235"/>
    <w:rsid w:val="005629F9"/>
    <w:rsid w:val="00570012"/>
    <w:rsid w:val="00572E18"/>
    <w:rsid w:val="00590C36"/>
    <w:rsid w:val="005936E5"/>
    <w:rsid w:val="005A0B5B"/>
    <w:rsid w:val="005A7198"/>
    <w:rsid w:val="005C46F8"/>
    <w:rsid w:val="005D3AB6"/>
    <w:rsid w:val="005D5239"/>
    <w:rsid w:val="005D70EF"/>
    <w:rsid w:val="005F208B"/>
    <w:rsid w:val="006002B7"/>
    <w:rsid w:val="006100E2"/>
    <w:rsid w:val="00612A0E"/>
    <w:rsid w:val="00620884"/>
    <w:rsid w:val="00633C3F"/>
    <w:rsid w:val="006435B0"/>
    <w:rsid w:val="00643BFC"/>
    <w:rsid w:val="00654FF2"/>
    <w:rsid w:val="00666C59"/>
    <w:rsid w:val="006731F4"/>
    <w:rsid w:val="006873EC"/>
    <w:rsid w:val="00696C2A"/>
    <w:rsid w:val="006A0407"/>
    <w:rsid w:val="006B7CD3"/>
    <w:rsid w:val="006C521F"/>
    <w:rsid w:val="006D1C5A"/>
    <w:rsid w:val="006D6052"/>
    <w:rsid w:val="006E22CE"/>
    <w:rsid w:val="006E39C9"/>
    <w:rsid w:val="006E7B5C"/>
    <w:rsid w:val="006F2DF8"/>
    <w:rsid w:val="006F2E35"/>
    <w:rsid w:val="0070128F"/>
    <w:rsid w:val="0071706E"/>
    <w:rsid w:val="0071751E"/>
    <w:rsid w:val="0072224E"/>
    <w:rsid w:val="007442A5"/>
    <w:rsid w:val="00761BA9"/>
    <w:rsid w:val="0078100A"/>
    <w:rsid w:val="00783AC9"/>
    <w:rsid w:val="007A5672"/>
    <w:rsid w:val="007B6AFB"/>
    <w:rsid w:val="007C06F6"/>
    <w:rsid w:val="007C3E9C"/>
    <w:rsid w:val="007C73D4"/>
    <w:rsid w:val="007D7603"/>
    <w:rsid w:val="007E317E"/>
    <w:rsid w:val="007E5292"/>
    <w:rsid w:val="007F0F85"/>
    <w:rsid w:val="00831313"/>
    <w:rsid w:val="0083623D"/>
    <w:rsid w:val="0084010F"/>
    <w:rsid w:val="008660C0"/>
    <w:rsid w:val="00876206"/>
    <w:rsid w:val="00876890"/>
    <w:rsid w:val="00876F9C"/>
    <w:rsid w:val="008D074B"/>
    <w:rsid w:val="0090728E"/>
    <w:rsid w:val="00943AA9"/>
    <w:rsid w:val="0094788D"/>
    <w:rsid w:val="00951865"/>
    <w:rsid w:val="00952911"/>
    <w:rsid w:val="00952EB7"/>
    <w:rsid w:val="009551F2"/>
    <w:rsid w:val="00963D77"/>
    <w:rsid w:val="00980A8D"/>
    <w:rsid w:val="00986B33"/>
    <w:rsid w:val="0098780D"/>
    <w:rsid w:val="00987AD5"/>
    <w:rsid w:val="00990B5C"/>
    <w:rsid w:val="00993E50"/>
    <w:rsid w:val="009A6B6F"/>
    <w:rsid w:val="009B43D5"/>
    <w:rsid w:val="009B4E4E"/>
    <w:rsid w:val="009B7138"/>
    <w:rsid w:val="009E2771"/>
    <w:rsid w:val="009F0927"/>
    <w:rsid w:val="009F2CE7"/>
    <w:rsid w:val="009F4F44"/>
    <w:rsid w:val="00A141E2"/>
    <w:rsid w:val="00A22361"/>
    <w:rsid w:val="00A34EEA"/>
    <w:rsid w:val="00A4586C"/>
    <w:rsid w:val="00A47500"/>
    <w:rsid w:val="00A6472B"/>
    <w:rsid w:val="00A73D89"/>
    <w:rsid w:val="00A831EC"/>
    <w:rsid w:val="00A83587"/>
    <w:rsid w:val="00A939A6"/>
    <w:rsid w:val="00A9582B"/>
    <w:rsid w:val="00AB56C9"/>
    <w:rsid w:val="00AB5DCF"/>
    <w:rsid w:val="00AC4D55"/>
    <w:rsid w:val="00AE0867"/>
    <w:rsid w:val="00AE32E7"/>
    <w:rsid w:val="00AE7F5F"/>
    <w:rsid w:val="00B160A4"/>
    <w:rsid w:val="00B67BE8"/>
    <w:rsid w:val="00B822E3"/>
    <w:rsid w:val="00BA3CDD"/>
    <w:rsid w:val="00BC530F"/>
    <w:rsid w:val="00BE246D"/>
    <w:rsid w:val="00BF17AA"/>
    <w:rsid w:val="00BF3917"/>
    <w:rsid w:val="00BF7ABB"/>
    <w:rsid w:val="00C073D8"/>
    <w:rsid w:val="00C15F93"/>
    <w:rsid w:val="00C214DD"/>
    <w:rsid w:val="00C22087"/>
    <w:rsid w:val="00C24556"/>
    <w:rsid w:val="00C24864"/>
    <w:rsid w:val="00C33A1B"/>
    <w:rsid w:val="00C33B15"/>
    <w:rsid w:val="00C36F07"/>
    <w:rsid w:val="00C504BB"/>
    <w:rsid w:val="00C57088"/>
    <w:rsid w:val="00C60F5D"/>
    <w:rsid w:val="00C82C9B"/>
    <w:rsid w:val="00C96698"/>
    <w:rsid w:val="00CA1588"/>
    <w:rsid w:val="00CC5047"/>
    <w:rsid w:val="00CC78A9"/>
    <w:rsid w:val="00CD2294"/>
    <w:rsid w:val="00CD69F6"/>
    <w:rsid w:val="00CD6C66"/>
    <w:rsid w:val="00CD74FF"/>
    <w:rsid w:val="00CE3323"/>
    <w:rsid w:val="00CE49CF"/>
    <w:rsid w:val="00CF6C7B"/>
    <w:rsid w:val="00D00033"/>
    <w:rsid w:val="00D04E35"/>
    <w:rsid w:val="00D21740"/>
    <w:rsid w:val="00D3681A"/>
    <w:rsid w:val="00D37F04"/>
    <w:rsid w:val="00D408D7"/>
    <w:rsid w:val="00D46895"/>
    <w:rsid w:val="00D47F3B"/>
    <w:rsid w:val="00D533FD"/>
    <w:rsid w:val="00D73B1F"/>
    <w:rsid w:val="00D76976"/>
    <w:rsid w:val="00D8151A"/>
    <w:rsid w:val="00D95D12"/>
    <w:rsid w:val="00D97699"/>
    <w:rsid w:val="00DA7C36"/>
    <w:rsid w:val="00DC1413"/>
    <w:rsid w:val="00E122A1"/>
    <w:rsid w:val="00E40B1E"/>
    <w:rsid w:val="00E432AF"/>
    <w:rsid w:val="00E547BA"/>
    <w:rsid w:val="00E62C90"/>
    <w:rsid w:val="00E742CE"/>
    <w:rsid w:val="00E74DDF"/>
    <w:rsid w:val="00E7652A"/>
    <w:rsid w:val="00E82906"/>
    <w:rsid w:val="00EA2D67"/>
    <w:rsid w:val="00EB10AF"/>
    <w:rsid w:val="00EB6051"/>
    <w:rsid w:val="00EC1D53"/>
    <w:rsid w:val="00EC420A"/>
    <w:rsid w:val="00EC43BA"/>
    <w:rsid w:val="00ED1071"/>
    <w:rsid w:val="00F1222F"/>
    <w:rsid w:val="00F20062"/>
    <w:rsid w:val="00F20C9E"/>
    <w:rsid w:val="00F37EC6"/>
    <w:rsid w:val="00F43330"/>
    <w:rsid w:val="00F4620B"/>
    <w:rsid w:val="00F52FF9"/>
    <w:rsid w:val="00F54CB5"/>
    <w:rsid w:val="00F568EB"/>
    <w:rsid w:val="00F56B9B"/>
    <w:rsid w:val="00F606B7"/>
    <w:rsid w:val="00F71E9D"/>
    <w:rsid w:val="00F83E84"/>
    <w:rsid w:val="00F864FC"/>
    <w:rsid w:val="00F90A00"/>
    <w:rsid w:val="00FA03AC"/>
    <w:rsid w:val="00FA41FA"/>
    <w:rsid w:val="00FB1A8D"/>
    <w:rsid w:val="00FD38EC"/>
    <w:rsid w:val="00FD4C63"/>
    <w:rsid w:val="00FD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5181DE"/>
  <w15:docId w15:val="{CF9C9F09-27F8-441C-96BF-F917D543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9F4F44"/>
    <w:pPr>
      <w:numPr>
        <w:numId w:val="1"/>
      </w:numPr>
      <w:contextualSpacing/>
    </w:pPr>
  </w:style>
  <w:style w:type="paragraph" w:styleId="ListBullet2">
    <w:name w:val="List Bullet 2"/>
    <w:basedOn w:val="Normal"/>
    <w:uiPriority w:val="99"/>
    <w:semiHidden/>
    <w:unhideWhenUsed/>
    <w:rsid w:val="009F4F44"/>
    <w:pPr>
      <w:numPr>
        <w:numId w:val="2"/>
      </w:numPr>
      <w:contextualSpacing/>
    </w:pPr>
  </w:style>
  <w:style w:type="paragraph" w:styleId="ListBullet3">
    <w:name w:val="List Bullet 3"/>
    <w:basedOn w:val="Normal"/>
    <w:uiPriority w:val="99"/>
    <w:semiHidden/>
    <w:unhideWhenUsed/>
    <w:rsid w:val="009F4F44"/>
    <w:pPr>
      <w:numPr>
        <w:numId w:val="3"/>
      </w:numPr>
      <w:contextualSpacing/>
    </w:pPr>
  </w:style>
  <w:style w:type="paragraph" w:styleId="ListBullet4">
    <w:name w:val="List Bullet 4"/>
    <w:basedOn w:val="Normal"/>
    <w:uiPriority w:val="99"/>
    <w:semiHidden/>
    <w:unhideWhenUsed/>
    <w:rsid w:val="009F4F44"/>
    <w:pPr>
      <w:numPr>
        <w:numId w:val="4"/>
      </w:numPr>
      <w:contextualSpacing/>
    </w:pPr>
  </w:style>
  <w:style w:type="character" w:styleId="Emphasis">
    <w:name w:val="Emphasis"/>
    <w:basedOn w:val="DefaultParagraphFont"/>
    <w:uiPriority w:val="20"/>
    <w:qFormat/>
    <w:rsid w:val="00D04E35"/>
    <w:rPr>
      <w:i/>
      <w:iCs/>
    </w:rPr>
  </w:style>
  <w:style w:type="character" w:styleId="CommentReference">
    <w:name w:val="annotation reference"/>
    <w:basedOn w:val="DefaultParagraphFont"/>
    <w:uiPriority w:val="99"/>
    <w:semiHidden/>
    <w:unhideWhenUsed/>
    <w:rsid w:val="00A73D89"/>
    <w:rPr>
      <w:sz w:val="16"/>
      <w:szCs w:val="16"/>
    </w:rPr>
  </w:style>
  <w:style w:type="paragraph" w:styleId="CommentText">
    <w:name w:val="annotation text"/>
    <w:basedOn w:val="Normal"/>
    <w:link w:val="CommentTextChar"/>
    <w:uiPriority w:val="99"/>
    <w:unhideWhenUsed/>
    <w:rsid w:val="00A73D89"/>
    <w:rPr>
      <w:sz w:val="20"/>
      <w:szCs w:val="20"/>
    </w:rPr>
  </w:style>
  <w:style w:type="character" w:customStyle="1" w:styleId="CommentTextChar">
    <w:name w:val="Comment Text Char"/>
    <w:basedOn w:val="DefaultParagraphFont"/>
    <w:link w:val="CommentText"/>
    <w:uiPriority w:val="99"/>
    <w:rsid w:val="00A73D8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73D89"/>
    <w:rPr>
      <w:b/>
      <w:bCs/>
    </w:rPr>
  </w:style>
  <w:style w:type="character" w:customStyle="1" w:styleId="CommentSubjectChar">
    <w:name w:val="Comment Subject Char"/>
    <w:basedOn w:val="CommentTextChar"/>
    <w:link w:val="CommentSubject"/>
    <w:uiPriority w:val="99"/>
    <w:semiHidden/>
    <w:rsid w:val="00A73D89"/>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A73D8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89"/>
    <w:rPr>
      <w:rFonts w:ascii="Segoe UI" w:hAnsi="Segoe UI" w:cs="Segoe UI"/>
      <w:sz w:val="18"/>
      <w:szCs w:val="18"/>
      <w:lang w:val="en-GB"/>
    </w:rPr>
  </w:style>
  <w:style w:type="character" w:styleId="Hyperlink">
    <w:name w:val="Hyperlink"/>
    <w:basedOn w:val="DefaultParagraphFont"/>
    <w:uiPriority w:val="99"/>
    <w:unhideWhenUsed/>
    <w:rsid w:val="004A3325"/>
    <w:rPr>
      <w:color w:val="0000FF" w:themeColor="hyperlink"/>
      <w:u w:val="single"/>
    </w:rPr>
  </w:style>
  <w:style w:type="paragraph" w:styleId="Revision">
    <w:name w:val="Revision"/>
    <w:hidden/>
    <w:uiPriority w:val="99"/>
    <w:semiHidden/>
    <w:rsid w:val="005629F9"/>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951865"/>
    <w:rPr>
      <w:color w:val="800080" w:themeColor="followedHyperlink"/>
      <w:u w:val="single"/>
    </w:rPr>
  </w:style>
  <w:style w:type="paragraph" w:styleId="Caption">
    <w:name w:val="caption"/>
    <w:basedOn w:val="Normal"/>
    <w:next w:val="Normal"/>
    <w:uiPriority w:val="35"/>
    <w:semiHidden/>
    <w:unhideWhenUsed/>
    <w:qFormat/>
    <w:rsid w:val="006B7CD3"/>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6B7CD3"/>
    <w:pPr>
      <w:spacing w:after="0"/>
    </w:pPr>
  </w:style>
  <w:style w:type="paragraph" w:styleId="ListNumber">
    <w:name w:val="List Number"/>
    <w:basedOn w:val="Normal"/>
    <w:uiPriority w:val="99"/>
    <w:semiHidden/>
    <w:unhideWhenUsed/>
    <w:rsid w:val="006B7CD3"/>
    <w:pPr>
      <w:numPr>
        <w:numId w:val="6"/>
      </w:numPr>
      <w:contextualSpacing/>
    </w:pPr>
  </w:style>
  <w:style w:type="paragraph" w:styleId="ListNumber2">
    <w:name w:val="List Number 2"/>
    <w:basedOn w:val="Normal"/>
    <w:uiPriority w:val="99"/>
    <w:semiHidden/>
    <w:unhideWhenUsed/>
    <w:rsid w:val="006B7CD3"/>
    <w:pPr>
      <w:numPr>
        <w:numId w:val="7"/>
      </w:numPr>
      <w:contextualSpacing/>
    </w:pPr>
  </w:style>
  <w:style w:type="paragraph" w:styleId="ListNumber3">
    <w:name w:val="List Number 3"/>
    <w:basedOn w:val="Normal"/>
    <w:uiPriority w:val="99"/>
    <w:semiHidden/>
    <w:unhideWhenUsed/>
    <w:rsid w:val="006B7CD3"/>
    <w:pPr>
      <w:numPr>
        <w:numId w:val="8"/>
      </w:numPr>
      <w:contextualSpacing/>
    </w:pPr>
  </w:style>
  <w:style w:type="paragraph" w:styleId="ListNumber4">
    <w:name w:val="List Number 4"/>
    <w:basedOn w:val="Normal"/>
    <w:uiPriority w:val="99"/>
    <w:semiHidden/>
    <w:unhideWhenUsed/>
    <w:rsid w:val="006B7CD3"/>
    <w:pPr>
      <w:numPr>
        <w:numId w:val="9"/>
      </w:numPr>
      <w:contextualSpacing/>
    </w:pPr>
  </w:style>
  <w:style w:type="paragraph" w:styleId="EndnoteText">
    <w:name w:val="endnote text"/>
    <w:basedOn w:val="Normal"/>
    <w:link w:val="EndnoteTextChar"/>
    <w:uiPriority w:val="99"/>
    <w:semiHidden/>
    <w:unhideWhenUsed/>
    <w:rsid w:val="004F4470"/>
    <w:pPr>
      <w:spacing w:before="0" w:after="0"/>
    </w:pPr>
    <w:rPr>
      <w:sz w:val="20"/>
      <w:szCs w:val="20"/>
    </w:rPr>
  </w:style>
  <w:style w:type="character" w:customStyle="1" w:styleId="EndnoteTextChar">
    <w:name w:val="Endnote Text Char"/>
    <w:basedOn w:val="DefaultParagraphFont"/>
    <w:link w:val="EndnoteText"/>
    <w:uiPriority w:val="99"/>
    <w:semiHidden/>
    <w:rsid w:val="004F4470"/>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4F4470"/>
    <w:rPr>
      <w:vertAlign w:val="superscript"/>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29"/>
      </w:numPr>
    </w:pPr>
  </w:style>
  <w:style w:type="paragraph" w:customStyle="1" w:styleId="NumPar2">
    <w:name w:val="NumPar 2"/>
    <w:basedOn w:val="Normal"/>
    <w:next w:val="Text1"/>
    <w:rsid w:val="009B7138"/>
    <w:pPr>
      <w:numPr>
        <w:ilvl w:val="1"/>
        <w:numId w:val="29"/>
      </w:numPr>
    </w:pPr>
  </w:style>
  <w:style w:type="paragraph" w:customStyle="1" w:styleId="NumPar3">
    <w:name w:val="NumPar 3"/>
    <w:basedOn w:val="Normal"/>
    <w:next w:val="Text1"/>
    <w:rsid w:val="009B7138"/>
    <w:pPr>
      <w:numPr>
        <w:ilvl w:val="2"/>
        <w:numId w:val="29"/>
      </w:numPr>
    </w:pPr>
  </w:style>
  <w:style w:type="paragraph" w:customStyle="1" w:styleId="NumPar4">
    <w:name w:val="NumPar 4"/>
    <w:basedOn w:val="Normal"/>
    <w:next w:val="Text1"/>
    <w:rsid w:val="009B7138"/>
    <w:pPr>
      <w:numPr>
        <w:ilvl w:val="3"/>
        <w:numId w:val="29"/>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78000">
      <w:bodyDiv w:val="1"/>
      <w:marLeft w:val="0"/>
      <w:marRight w:val="0"/>
      <w:marTop w:val="0"/>
      <w:marBottom w:val="0"/>
      <w:divBdr>
        <w:top w:val="none" w:sz="0" w:space="0" w:color="auto"/>
        <w:left w:val="none" w:sz="0" w:space="0" w:color="auto"/>
        <w:bottom w:val="none" w:sz="0" w:space="0" w:color="auto"/>
        <w:right w:val="none" w:sz="0" w:space="0" w:color="auto"/>
      </w:divBdr>
    </w:div>
    <w:div w:id="356081498">
      <w:bodyDiv w:val="1"/>
      <w:marLeft w:val="0"/>
      <w:marRight w:val="0"/>
      <w:marTop w:val="0"/>
      <w:marBottom w:val="0"/>
      <w:divBdr>
        <w:top w:val="none" w:sz="0" w:space="0" w:color="auto"/>
        <w:left w:val="none" w:sz="0" w:space="0" w:color="auto"/>
        <w:bottom w:val="none" w:sz="0" w:space="0" w:color="auto"/>
        <w:right w:val="none" w:sz="0" w:space="0" w:color="auto"/>
      </w:divBdr>
    </w:div>
    <w:div w:id="554393105">
      <w:bodyDiv w:val="1"/>
      <w:marLeft w:val="0"/>
      <w:marRight w:val="0"/>
      <w:marTop w:val="0"/>
      <w:marBottom w:val="0"/>
      <w:divBdr>
        <w:top w:val="none" w:sz="0" w:space="0" w:color="auto"/>
        <w:left w:val="none" w:sz="0" w:space="0" w:color="auto"/>
        <w:bottom w:val="none" w:sz="0" w:space="0" w:color="auto"/>
        <w:right w:val="none" w:sz="0" w:space="0" w:color="auto"/>
      </w:divBdr>
    </w:div>
    <w:div w:id="1062219206">
      <w:bodyDiv w:val="1"/>
      <w:marLeft w:val="0"/>
      <w:marRight w:val="0"/>
      <w:marTop w:val="0"/>
      <w:marBottom w:val="0"/>
      <w:divBdr>
        <w:top w:val="none" w:sz="0" w:space="0" w:color="auto"/>
        <w:left w:val="none" w:sz="0" w:space="0" w:color="auto"/>
        <w:bottom w:val="none" w:sz="0" w:space="0" w:color="auto"/>
        <w:right w:val="none" w:sz="0" w:space="0" w:color="auto"/>
      </w:divBdr>
    </w:div>
    <w:div w:id="1120805600">
      <w:bodyDiv w:val="1"/>
      <w:marLeft w:val="0"/>
      <w:marRight w:val="0"/>
      <w:marTop w:val="0"/>
      <w:marBottom w:val="0"/>
      <w:divBdr>
        <w:top w:val="none" w:sz="0" w:space="0" w:color="auto"/>
        <w:left w:val="none" w:sz="0" w:space="0" w:color="auto"/>
        <w:bottom w:val="none" w:sz="0" w:space="0" w:color="auto"/>
        <w:right w:val="none" w:sz="0" w:space="0" w:color="auto"/>
      </w:divBdr>
    </w:div>
    <w:div w:id="12792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documents/10162/13640/axiv_amend_recommendation_phthalates_july2019_en.pdf/1889866a-bec3-fe16-6322-67c16a13b09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0537F-E8E6-4412-BEA3-C9D571D1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Pages>
  <Words>1213</Words>
  <Characters>6543</Characters>
  <Application>Microsoft Office Word</Application>
  <DocSecurity>0</DocSecurity>
  <Lines>109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BORRAS HERRERO Anna (GROW)</dc:creator>
  <cp:keywords/>
  <dc:description/>
  <cp:lastModifiedBy>THOMAS Nathalie (GROW)</cp:lastModifiedBy>
  <cp:revision>3</cp:revision>
  <cp:lastPrinted>2020-11-19T09:13:00Z</cp:lastPrinted>
  <dcterms:created xsi:type="dcterms:W3CDTF">2020-11-26T10:26:00Z</dcterms:created>
  <dcterms:modified xsi:type="dcterms:W3CDTF">2020-11-26T10:27:00Z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SJ-001</vt:lpwstr>
  </property>
  <property fmtid="{D5CDD505-2E9C-101B-9397-08002B2CF9AE}" pid="10" name="DQCStatus">
    <vt:lpwstr>Green (DQC version 03)</vt:lpwstr>
  </property>
</Properties>
</file>