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8FEB1" w14:textId="6A7556B8" w:rsidR="001C2816" w:rsidRDefault="00805167" w:rsidP="00ED623E">
      <w:pPr>
        <w:pStyle w:val="Pagedecouverture"/>
      </w:pPr>
      <w:bookmarkStart w:id="0" w:name="_GoBack"/>
      <w:bookmarkEnd w:id="0"/>
      <w:r>
        <w:pict w14:anchorId="69AB8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9D6EA05-13E6-4B36-B5EF-09CDA2D9BD86" style="width:450.6pt;height:409.2pt">
            <v:imagedata r:id="rId8" o:title=""/>
          </v:shape>
        </w:pict>
      </w:r>
    </w:p>
    <w:p w14:paraId="117FD9D8" w14:textId="77777777" w:rsidR="009E50D8" w:rsidRPr="00A01AA1" w:rsidRDefault="009E50D8" w:rsidP="00A01AA1">
      <w:pPr>
        <w:sectPr w:rsidR="009E50D8" w:rsidRPr="00A01AA1" w:rsidSect="00A41804">
          <w:footerReference w:type="default" r:id="rId9"/>
          <w:pgSz w:w="11907" w:h="16839"/>
          <w:pgMar w:top="1134" w:right="1417" w:bottom="1134" w:left="1417" w:header="709" w:footer="709" w:gutter="0"/>
          <w:pgNumType w:start="0"/>
          <w:cols w:space="720"/>
          <w:docGrid w:linePitch="360"/>
        </w:sectPr>
      </w:pPr>
    </w:p>
    <w:p w14:paraId="70D4EB96" w14:textId="5BDB3A08" w:rsidR="009E50D8" w:rsidRPr="00A01AA1" w:rsidRDefault="00ED623E" w:rsidP="00ED623E">
      <w:pPr>
        <w:pStyle w:val="Typedudocument"/>
      </w:pPr>
      <w:r w:rsidRPr="00ED623E">
        <w:lastRenderedPageBreak/>
        <w:t>COMMISSION REGULATION (EU) …/…</w:t>
      </w:r>
    </w:p>
    <w:p w14:paraId="335EDB92" w14:textId="4E6B41CE" w:rsidR="009E50D8" w:rsidRPr="00A01AA1" w:rsidRDefault="00ED623E" w:rsidP="00ED623E">
      <w:pPr>
        <w:pStyle w:val="Datedadoption"/>
      </w:pPr>
      <w:r w:rsidRPr="00ED623E">
        <w:t xml:space="preserve">of </w:t>
      </w:r>
      <w:r w:rsidRPr="00ED623E">
        <w:rPr>
          <w:rStyle w:val="Marker2"/>
        </w:rPr>
        <w:t>XXX</w:t>
      </w:r>
    </w:p>
    <w:p w14:paraId="591A301A" w14:textId="05E3FB84" w:rsidR="009E50D8" w:rsidRPr="00A01AA1" w:rsidRDefault="00ED623E" w:rsidP="00ED623E">
      <w:pPr>
        <w:pStyle w:val="Titreobjet"/>
      </w:pPr>
      <w:r w:rsidRPr="00ED623E">
        <w:t>amending Annex XVII to Regulation (EC) No 1907/2006 of the European Parliament and of the Council concerning the Registration, Evaluation, Authorisation and Restriction of Chemicals (REACH), as regards carcinogenic, mutagenic or reproductive toxicant (CMR) substances</w:t>
      </w:r>
    </w:p>
    <w:p w14:paraId="5CB43AE6" w14:textId="7F3B7B74" w:rsidR="009E50D8" w:rsidRPr="009E50D8" w:rsidRDefault="00ED623E" w:rsidP="00ED623E">
      <w:pPr>
        <w:pStyle w:val="IntrtEEE"/>
      </w:pPr>
      <w:r w:rsidRPr="00ED623E">
        <w:t>(Text with EEA relevance)</w:t>
      </w:r>
    </w:p>
    <w:p w14:paraId="09446126" w14:textId="77777777" w:rsidR="009E50D8" w:rsidRPr="00A01AA1" w:rsidRDefault="009E50D8" w:rsidP="001C3314">
      <w:pPr>
        <w:pStyle w:val="Institutionquiagit"/>
      </w:pPr>
      <w:r w:rsidRPr="00A01AA1">
        <w:t>THE EUROPEAN COMMISSION,</w:t>
      </w:r>
    </w:p>
    <w:p w14:paraId="1F4FAF3F" w14:textId="77777777" w:rsidR="009E50D8" w:rsidRPr="00A01AA1" w:rsidRDefault="009E50D8" w:rsidP="001C3314">
      <w:r w:rsidRPr="00A01AA1">
        <w:t>Having regard to the Treaty on the Functioning of the European Union,</w:t>
      </w:r>
    </w:p>
    <w:p w14:paraId="4F02BF74" w14:textId="17175A4B" w:rsidR="009E50D8" w:rsidRPr="00A01AA1" w:rsidRDefault="009E50D8" w:rsidP="001C3314">
      <w:r w:rsidRPr="00A01AA1">
        <w:t xml:space="preserve">Having regard to </w:t>
      </w:r>
      <w:r w:rsidRPr="003D6107">
        <w:rPr>
          <w:snapToGrid w:val="0"/>
          <w:color w:val="000000"/>
        </w:rPr>
        <w:t xml:space="preserve">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w:t>
      </w:r>
      <w:r w:rsidRPr="00E75BC5">
        <w:rPr>
          <w:snapToGrid w:val="0"/>
          <w:color w:val="000000"/>
        </w:rPr>
        <w:t>1488/94 as well as Council Directive 76/769/EEC and Commission Directives 91/155/EEC, 93/67/EEC, 93/105/EC and 2000/21/EC</w:t>
      </w:r>
      <w:r w:rsidRPr="00A01AA1">
        <w:rPr>
          <w:rStyle w:val="FootnoteReference"/>
        </w:rPr>
        <w:footnoteReference w:id="1"/>
      </w:r>
      <w:r>
        <w:t xml:space="preserve">, and in particular </w:t>
      </w:r>
      <w:r w:rsidR="0055604F">
        <w:t xml:space="preserve">Article 68(2) </w:t>
      </w:r>
      <w:r w:rsidRPr="00A01AA1">
        <w:t>thereof,</w:t>
      </w:r>
    </w:p>
    <w:p w14:paraId="3777AE7E" w14:textId="77777777" w:rsidR="009E50D8" w:rsidRPr="00A01AA1" w:rsidRDefault="009E50D8" w:rsidP="001C3314">
      <w:r w:rsidRPr="00A01AA1">
        <w:t>Whereas:</w:t>
      </w:r>
    </w:p>
    <w:p w14:paraId="056DDA17" w14:textId="77777777" w:rsidR="009E50D8" w:rsidRPr="00A01AA1" w:rsidRDefault="009E50D8" w:rsidP="00805167">
      <w:pPr>
        <w:pStyle w:val="Considrant"/>
        <w:numPr>
          <w:ilvl w:val="0"/>
          <w:numId w:val="7"/>
        </w:numPr>
      </w:pPr>
      <w:r>
        <w:t xml:space="preserve">Entries 28, 29 and 30 of </w:t>
      </w:r>
      <w:r w:rsidRPr="003D6107">
        <w:t xml:space="preserve">Annex XVII to Regulation (EC) No 1907/2006 prohibit the </w:t>
      </w:r>
      <w:r>
        <w:t>placing on the market and use, for supply to</w:t>
      </w:r>
      <w:r w:rsidRPr="003D6107">
        <w:t xml:space="preserve"> the general </w:t>
      </w:r>
      <w:r w:rsidRPr="00AB2FDB">
        <w:t>public,</w:t>
      </w:r>
      <w:r w:rsidRPr="003D6107">
        <w:t xml:space="preserve"> of substances that are classified as carcinogenic, mutagenic or reproductive toxicant (CMR), categories 1A or 1B</w:t>
      </w:r>
      <w:r>
        <w:t xml:space="preserve">, and </w:t>
      </w:r>
      <w:r w:rsidRPr="003D6107">
        <w:t xml:space="preserve">listed in Appendices 1 to 6 to </w:t>
      </w:r>
      <w:r>
        <w:t xml:space="preserve">that </w:t>
      </w:r>
      <w:r w:rsidRPr="003D6107">
        <w:t>Annex</w:t>
      </w:r>
      <w:r w:rsidRPr="00505CD6">
        <w:t xml:space="preserve"> </w:t>
      </w:r>
      <w:r>
        <w:t>and</w:t>
      </w:r>
      <w:r w:rsidRPr="003D6107">
        <w:t xml:space="preserve"> of mixtures containing </w:t>
      </w:r>
      <w:r>
        <w:t>such substances above</w:t>
      </w:r>
      <w:r w:rsidRPr="003D6107">
        <w:t xml:space="preserve"> </w:t>
      </w:r>
      <w:r>
        <w:t xml:space="preserve">specified </w:t>
      </w:r>
      <w:r w:rsidRPr="003D6107">
        <w:t>concentration</w:t>
      </w:r>
      <w:r>
        <w:t>s</w:t>
      </w:r>
      <w:r w:rsidRPr="00A01AA1">
        <w:t>.</w:t>
      </w:r>
    </w:p>
    <w:p w14:paraId="62544E50" w14:textId="77777777" w:rsidR="009E50D8" w:rsidRDefault="009E50D8" w:rsidP="009E50D8">
      <w:pPr>
        <w:pStyle w:val="Considrant"/>
      </w:pPr>
      <w:r>
        <w:t>Substances classified as CMR are listed in Part 3 of Annex VI to Regulation</w:t>
      </w:r>
      <w:r w:rsidRPr="00345DBC">
        <w:t xml:space="preserve"> (EC) No </w:t>
      </w:r>
      <w:r w:rsidRPr="00BE3D0D">
        <w:t>1272/2008 of the European Parliament and of the Council</w:t>
      </w:r>
      <w:r w:rsidRPr="00BE3D0D">
        <w:rPr>
          <w:rStyle w:val="FootnoteReference"/>
        </w:rPr>
        <w:footnoteReference w:id="2"/>
      </w:r>
      <w:r>
        <w:t>.</w:t>
      </w:r>
    </w:p>
    <w:p w14:paraId="574D4879" w14:textId="4A5A2A56" w:rsidR="009E50D8" w:rsidRDefault="00E54270" w:rsidP="009E50D8">
      <w:pPr>
        <w:pStyle w:val="Considrant"/>
      </w:pPr>
      <w:r>
        <w:t>Appendices 1 to 6 to Annex XVII to Regulation (EC) No 1907/2006, as last amended by Commission Regulation (EU) 2020/2096</w:t>
      </w:r>
      <w:r>
        <w:rPr>
          <w:rStyle w:val="FootnoteReference"/>
        </w:rPr>
        <w:footnoteReference w:id="3"/>
      </w:r>
      <w:r>
        <w:t xml:space="preserve">, do not yet reflect the new classifications of substances as CMR under </w:t>
      </w:r>
      <w:r w:rsidR="009E50D8" w:rsidRPr="00BE3D0D">
        <w:t>Regulation (EC) No 1272/2008</w:t>
      </w:r>
      <w:r w:rsidR="003568CA">
        <w:t>,</w:t>
      </w:r>
      <w:r w:rsidR="009E50D8" w:rsidRPr="00BE3D0D">
        <w:t xml:space="preserve"> </w:t>
      </w:r>
      <w:r>
        <w:t xml:space="preserve">as </w:t>
      </w:r>
      <w:r w:rsidR="009E50D8" w:rsidRPr="00BE3D0D">
        <w:t>amend</w:t>
      </w:r>
      <w:r w:rsidR="009E50D8">
        <w:t xml:space="preserve">ed by </w:t>
      </w:r>
      <w:r w:rsidR="009E50D8" w:rsidRPr="00BE3D0D">
        <w:t>Commission Delegated Regulation</w:t>
      </w:r>
      <w:r w:rsidR="00AD47C8">
        <w:t>s</w:t>
      </w:r>
      <w:r w:rsidR="009E50D8" w:rsidRPr="00BE3D0D">
        <w:t xml:space="preserve"> (EU) 2020/</w:t>
      </w:r>
      <w:r w:rsidR="009E50D8">
        <w:t>1182</w:t>
      </w:r>
      <w:r w:rsidR="009E50D8" w:rsidRPr="00BE3D0D">
        <w:rPr>
          <w:rStyle w:val="FootnoteReference"/>
        </w:rPr>
        <w:footnoteReference w:id="4"/>
      </w:r>
      <w:r w:rsidR="00AD47C8">
        <w:t xml:space="preserve"> and </w:t>
      </w:r>
      <w:r w:rsidR="0096075F">
        <w:t xml:space="preserve">(EU) </w:t>
      </w:r>
      <w:r w:rsidR="00231510">
        <w:t>2021</w:t>
      </w:r>
      <w:r w:rsidR="0096075F">
        <w:t>/…</w:t>
      </w:r>
      <w:r w:rsidR="0096075F" w:rsidRPr="00BE3D0D">
        <w:rPr>
          <w:rStyle w:val="FootnoteReference"/>
        </w:rPr>
        <w:footnoteReference w:id="5"/>
      </w:r>
      <w:r w:rsidR="009E50D8" w:rsidRPr="00BE3D0D">
        <w:t xml:space="preserve">. It is </w:t>
      </w:r>
      <w:r>
        <w:lastRenderedPageBreak/>
        <w:t xml:space="preserve">therefore </w:t>
      </w:r>
      <w:r w:rsidR="009E50D8" w:rsidRPr="00BE3D0D">
        <w:t xml:space="preserve">appropriate to add the newly classified CMR substances of categories 1A or 1B listed in </w:t>
      </w:r>
      <w:r>
        <w:t xml:space="preserve">Delegated </w:t>
      </w:r>
      <w:r w:rsidR="009E50D8" w:rsidRPr="00BE3D0D">
        <w:t>Regu</w:t>
      </w:r>
      <w:r w:rsidR="00064BAF">
        <w:t>lation</w:t>
      </w:r>
      <w:r w:rsidR="00AD47C8">
        <w:t>s</w:t>
      </w:r>
      <w:r w:rsidR="00064BAF">
        <w:t xml:space="preserve"> (EU) 2020/1182</w:t>
      </w:r>
      <w:r w:rsidR="009E50D8" w:rsidRPr="00BE3D0D">
        <w:t xml:space="preserve"> </w:t>
      </w:r>
      <w:r w:rsidR="00231510">
        <w:t>and (EU) 2021</w:t>
      </w:r>
      <w:r w:rsidR="00AD47C8">
        <w:t xml:space="preserve">/… </w:t>
      </w:r>
      <w:r w:rsidR="009E50D8" w:rsidRPr="00BE3D0D">
        <w:t xml:space="preserve">to Appendices </w:t>
      </w:r>
      <w:r>
        <w:t>2, 4 and</w:t>
      </w:r>
      <w:r w:rsidR="009E50D8" w:rsidRPr="00BE3D0D">
        <w:t xml:space="preserve"> 6 to Annex XVII to Regulation (EC) No 1907/2006</w:t>
      </w:r>
      <w:r w:rsidR="009E50D8">
        <w:t>.</w:t>
      </w:r>
    </w:p>
    <w:p w14:paraId="4AE23BFF" w14:textId="000B21A0" w:rsidR="009E50D8" w:rsidRDefault="00F33C42" w:rsidP="009E50D8">
      <w:pPr>
        <w:pStyle w:val="Considrant"/>
      </w:pPr>
      <w:r>
        <w:t>The classif</w:t>
      </w:r>
      <w:r w:rsidR="00E54270">
        <w:t xml:space="preserve">ication of substances listed in </w:t>
      </w:r>
      <w:r>
        <w:t xml:space="preserve">Delegated </w:t>
      </w:r>
      <w:r w:rsidR="009E50D8">
        <w:t>Regulation (EU) 2020/1182</w:t>
      </w:r>
      <w:r w:rsidR="009E50D8" w:rsidRPr="00AB2FDB">
        <w:t xml:space="preserve"> will apply from</w:t>
      </w:r>
      <w:r w:rsidR="009E50D8">
        <w:t xml:space="preserve"> 1 March 2022</w:t>
      </w:r>
      <w:r w:rsidR="009E50D8" w:rsidRPr="00AB2FDB">
        <w:t xml:space="preserve">. The restriction introduced by this Regulation as regards substances classified as </w:t>
      </w:r>
      <w:r w:rsidR="009E50D8" w:rsidRPr="00BE3D0D">
        <w:t>CMR category 1A or 1B by Regulation</w:t>
      </w:r>
      <w:r w:rsidR="009E50D8">
        <w:t xml:space="preserve"> (EU) 2020/1182</w:t>
      </w:r>
      <w:r w:rsidR="009E50D8" w:rsidRPr="00BE3D0D">
        <w:t xml:space="preserve"> should therefore apply from </w:t>
      </w:r>
      <w:r w:rsidR="009E50D8">
        <w:t>1 March</w:t>
      </w:r>
      <w:r w:rsidR="009E50D8" w:rsidRPr="00AB2FDB">
        <w:t xml:space="preserve"> </w:t>
      </w:r>
      <w:r w:rsidR="009E50D8">
        <w:t>2022</w:t>
      </w:r>
      <w:r w:rsidR="009E50D8" w:rsidRPr="002B5B6F">
        <w:t>. The date of application does not prevent operators from applying the restrictions related to the CMR substances category 1A or 1B classified under</w:t>
      </w:r>
      <w:r w:rsidR="009E50D8" w:rsidRPr="00AB2FDB">
        <w:t xml:space="preserve"> R</w:t>
      </w:r>
      <w:r w:rsidR="009E50D8">
        <w:t>egulation (EU) 2020/1182 earlier.</w:t>
      </w:r>
    </w:p>
    <w:p w14:paraId="64249102" w14:textId="686D3DE2" w:rsidR="00AD47C8" w:rsidRDefault="00B74A4C" w:rsidP="00AD47C8">
      <w:pPr>
        <w:pStyle w:val="Considrant"/>
      </w:pPr>
      <w:r>
        <w:t>The classifica</w:t>
      </w:r>
      <w:r w:rsidR="00E54270">
        <w:t>tion of substances listed in</w:t>
      </w:r>
      <w:r>
        <w:t xml:space="preserve"> </w:t>
      </w:r>
      <w:r w:rsidR="00F33C42">
        <w:t xml:space="preserve">Delegated </w:t>
      </w:r>
      <w:r w:rsidR="00231510">
        <w:t>Regulation (EU) 2021</w:t>
      </w:r>
      <w:r w:rsidR="00AD47C8">
        <w:t>/…</w:t>
      </w:r>
      <w:r w:rsidR="00AD47C8" w:rsidRPr="00AB2FDB">
        <w:t xml:space="preserve"> will apply </w:t>
      </w:r>
      <w:r w:rsidR="00AD47C8" w:rsidRPr="00F133D8">
        <w:t xml:space="preserve">from </w:t>
      </w:r>
      <w:r w:rsidR="00F133D8" w:rsidRPr="00F133D8">
        <w:rPr>
          <w:i/>
        </w:rPr>
        <w:t>…</w:t>
      </w:r>
      <w:r w:rsidR="00AD47C8" w:rsidRPr="00F133D8">
        <w:t>. The</w:t>
      </w:r>
      <w:r w:rsidR="00AD47C8" w:rsidRPr="00AB2FDB">
        <w:t xml:space="preserve"> restriction introduced by this Regulation as regards substances classified as </w:t>
      </w:r>
      <w:r w:rsidR="00AD47C8" w:rsidRPr="00BE3D0D">
        <w:t>CMR category 1A or 1B by Regulation</w:t>
      </w:r>
      <w:r w:rsidR="00231510">
        <w:t xml:space="preserve"> (EU) 2021</w:t>
      </w:r>
      <w:r w:rsidR="00AD47C8">
        <w:t>/…</w:t>
      </w:r>
      <w:r w:rsidR="00AD47C8" w:rsidRPr="00BE3D0D">
        <w:t xml:space="preserve"> should therefore apply from</w:t>
      </w:r>
      <w:r w:rsidR="00F133D8">
        <w:t xml:space="preserve"> …</w:t>
      </w:r>
      <w:r w:rsidR="00AD47C8" w:rsidRPr="002B5B6F">
        <w:t>. The date of application does not prevent operators from applying the restrictions related to the CMR substances category 1A or 1B classified under</w:t>
      </w:r>
      <w:r w:rsidR="00AD47C8" w:rsidRPr="00AB2FDB">
        <w:t xml:space="preserve"> R</w:t>
      </w:r>
      <w:r w:rsidR="00231510">
        <w:t>egulation (EU) 2021</w:t>
      </w:r>
      <w:r w:rsidR="00AD47C8">
        <w:t>/… earlier.</w:t>
      </w:r>
    </w:p>
    <w:p w14:paraId="69DBDEBA" w14:textId="77777777" w:rsidR="009E50D8" w:rsidRPr="00A01AA1" w:rsidRDefault="009E50D8" w:rsidP="009E50D8">
      <w:pPr>
        <w:pStyle w:val="Considrant"/>
      </w:pPr>
      <w:r w:rsidRPr="003D6107">
        <w:t xml:space="preserve">Regulation (EC) No 1907/2006 should </w:t>
      </w:r>
      <w:r>
        <w:t xml:space="preserve">therefore </w:t>
      </w:r>
      <w:r w:rsidRPr="003D6107">
        <w:t xml:space="preserve">be amended </w:t>
      </w:r>
      <w:r>
        <w:t>accordingly.</w:t>
      </w:r>
    </w:p>
    <w:p w14:paraId="32FC8014" w14:textId="77777777" w:rsidR="009E50D8" w:rsidRPr="00A01AA1" w:rsidRDefault="009E50D8" w:rsidP="009E50D8">
      <w:pPr>
        <w:pStyle w:val="Considrant"/>
      </w:pPr>
      <w:r w:rsidRPr="00A01AA1">
        <w:t xml:space="preserve">The measures provided for in this Regulation are in accordance with the opinion of </w:t>
      </w:r>
      <w:r w:rsidR="009D7D91">
        <w:t xml:space="preserve">the </w:t>
      </w:r>
      <w:r w:rsidRPr="003D6107">
        <w:t xml:space="preserve">Committee established </w:t>
      </w:r>
      <w:r>
        <w:t>by</w:t>
      </w:r>
      <w:r w:rsidRPr="003D6107">
        <w:t xml:space="preserve"> Article 133</w:t>
      </w:r>
      <w:r>
        <w:t>(1)</w:t>
      </w:r>
      <w:r w:rsidRPr="003D6107">
        <w:t xml:space="preserve"> of Regulation (EC) No 1907/2006</w:t>
      </w:r>
      <w:r w:rsidRPr="00A01AA1">
        <w:t>,</w:t>
      </w:r>
    </w:p>
    <w:p w14:paraId="1BCA586F" w14:textId="77777777" w:rsidR="009E50D8" w:rsidRPr="00A01AA1" w:rsidRDefault="009E50D8" w:rsidP="001C3314">
      <w:pPr>
        <w:pStyle w:val="Formuledadoption"/>
      </w:pPr>
      <w:r w:rsidRPr="00A01AA1">
        <w:t>HAS ADOPTED THIS REGULATION:</w:t>
      </w:r>
    </w:p>
    <w:p w14:paraId="3CAF53A5" w14:textId="77777777" w:rsidR="009E50D8" w:rsidRPr="00A01AA1" w:rsidRDefault="009E50D8" w:rsidP="001C3314">
      <w:pPr>
        <w:pStyle w:val="Titrearticle"/>
      </w:pPr>
      <w:r w:rsidRPr="00A01AA1">
        <w:t>Article 1</w:t>
      </w:r>
    </w:p>
    <w:p w14:paraId="2D28B90F" w14:textId="77777777" w:rsidR="009E50D8" w:rsidRPr="00A01AA1" w:rsidRDefault="00064BAF" w:rsidP="001C3314">
      <w:r w:rsidRPr="003D6107">
        <w:t xml:space="preserve">Annex XVII to Regulation (EC) No 1907/2006 is amended in accordance </w:t>
      </w:r>
      <w:r w:rsidRPr="005B1BB8">
        <w:t xml:space="preserve">with </w:t>
      </w:r>
      <w:r>
        <w:t xml:space="preserve">the </w:t>
      </w:r>
      <w:r w:rsidRPr="005B1BB8">
        <w:t>Annex</w:t>
      </w:r>
      <w:r>
        <w:t xml:space="preserve"> to this Regulation.</w:t>
      </w:r>
    </w:p>
    <w:p w14:paraId="0E503F4E" w14:textId="77777777" w:rsidR="009E50D8" w:rsidRPr="00A01AA1" w:rsidRDefault="00064BAF" w:rsidP="001C3314">
      <w:pPr>
        <w:pStyle w:val="Titrearticle"/>
      </w:pPr>
      <w:r>
        <w:t>Article 2</w:t>
      </w:r>
    </w:p>
    <w:p w14:paraId="3799586C" w14:textId="2265ADD2" w:rsidR="009E50D8" w:rsidRDefault="009E50D8" w:rsidP="00E54270">
      <w:r w:rsidRPr="00A01AA1">
        <w:t>This Regulatio</w:t>
      </w:r>
      <w:r w:rsidR="00064BAF">
        <w:t>n shall enter into force on the twentieth</w:t>
      </w:r>
      <w:r w:rsidRPr="00A01AA1">
        <w:t xml:space="preserve"> day following that of its publication in the </w:t>
      </w:r>
      <w:r w:rsidRPr="00BF7C15">
        <w:rPr>
          <w:i/>
        </w:rPr>
        <w:t>Official Journal of the European Union</w:t>
      </w:r>
      <w:r w:rsidRPr="00A01AA1">
        <w:t>.</w:t>
      </w:r>
    </w:p>
    <w:p w14:paraId="10E1ECD9" w14:textId="2F0E7A67" w:rsidR="00BF7C15" w:rsidRDefault="00BF7C15" w:rsidP="00E54270">
      <w:r w:rsidRPr="00AB2FDB">
        <w:t>Point (</w:t>
      </w:r>
      <w:r w:rsidR="00BF5CCA">
        <w:t>1</w:t>
      </w:r>
      <w:r w:rsidRPr="00AB2FDB">
        <w:t>) of</w:t>
      </w:r>
      <w:r>
        <w:t xml:space="preserve"> the Annex shall apply as follows:</w:t>
      </w:r>
    </w:p>
    <w:p w14:paraId="4647EA7E" w14:textId="1EC230AE" w:rsidR="00BF7C15" w:rsidRDefault="00BF7C15" w:rsidP="00805167">
      <w:pPr>
        <w:pStyle w:val="Tiret1"/>
        <w:numPr>
          <w:ilvl w:val="0"/>
          <w:numId w:val="10"/>
        </w:numPr>
      </w:pPr>
      <w:r>
        <w:t xml:space="preserve">rows </w:t>
      </w:r>
      <w:r w:rsidRPr="00476BE3">
        <w:t xml:space="preserve">concerning </w:t>
      </w:r>
      <w:r w:rsidR="00476BE3" w:rsidRPr="00476BE3">
        <w:rPr>
          <w:shd w:val="clear" w:color="auto" w:fill="FFFFFF"/>
        </w:rPr>
        <w:t xml:space="preserve">silicon carbide fibres (with diameter &lt; 3 μm, length &gt; 5 μm and aspect ratio ≥ 3:1), </w:t>
      </w:r>
      <w:r w:rsidR="00476BE3" w:rsidRPr="00476BE3">
        <w:rPr>
          <w:lang w:val="en-IE"/>
        </w:rPr>
        <w:t>dibenzo[</w:t>
      </w:r>
      <w:r w:rsidR="00476BE3" w:rsidRPr="00476BE3">
        <w:rPr>
          <w:rStyle w:val="oj-italic"/>
          <w:i/>
          <w:iCs/>
          <w:color w:val="444444"/>
          <w:szCs w:val="24"/>
          <w:lang w:val="en-IE"/>
        </w:rPr>
        <w:t>def</w:t>
      </w:r>
      <w:r w:rsidR="00476BE3" w:rsidRPr="00476BE3">
        <w:rPr>
          <w:lang w:val="en-IE"/>
        </w:rPr>
        <w:t>,</w:t>
      </w:r>
      <w:r w:rsidR="00476BE3" w:rsidRPr="00476BE3">
        <w:rPr>
          <w:rStyle w:val="oj-italic"/>
          <w:i/>
          <w:iCs/>
          <w:color w:val="444444"/>
          <w:szCs w:val="24"/>
          <w:lang w:val="en-IE"/>
        </w:rPr>
        <w:t>p</w:t>
      </w:r>
      <w:r w:rsidR="00476BE3" w:rsidRPr="00476BE3">
        <w:rPr>
          <w:lang w:val="en-IE"/>
        </w:rPr>
        <w:t>]chrysene; dibenzo[</w:t>
      </w:r>
      <w:r w:rsidR="00476BE3" w:rsidRPr="00476BE3">
        <w:rPr>
          <w:rStyle w:val="oj-italic"/>
          <w:i/>
          <w:iCs/>
          <w:color w:val="444444"/>
          <w:szCs w:val="24"/>
          <w:lang w:val="en-IE"/>
        </w:rPr>
        <w:t>a</w:t>
      </w:r>
      <w:r w:rsidR="00476BE3" w:rsidRPr="00476BE3">
        <w:rPr>
          <w:lang w:val="en-IE"/>
        </w:rPr>
        <w:t>,</w:t>
      </w:r>
      <w:r w:rsidR="00476BE3" w:rsidRPr="00476BE3">
        <w:rPr>
          <w:rStyle w:val="oj-italic"/>
          <w:i/>
          <w:iCs/>
          <w:color w:val="444444"/>
          <w:szCs w:val="24"/>
          <w:lang w:val="en-IE"/>
        </w:rPr>
        <w:t>l</w:t>
      </w:r>
      <w:r w:rsidR="00476BE3" w:rsidRPr="00476BE3">
        <w:rPr>
          <w:lang w:val="en-IE"/>
        </w:rPr>
        <w:t xml:space="preserve">]pyrene, </w:t>
      </w:r>
      <w:r w:rsidR="00476BE3" w:rsidRPr="00476BE3">
        <w:rPr>
          <w:i/>
          <w:iCs/>
          <w:lang w:val="en-IE"/>
        </w:rPr>
        <w:t>m</w:t>
      </w:r>
      <w:r w:rsidR="00476BE3" w:rsidRPr="00476BE3">
        <w:rPr>
          <w:lang w:val="en-IE"/>
        </w:rPr>
        <w:t xml:space="preserve">-bis(2,3-epoxypropoxy)benzene; resorcinol diglycidyl ether, </w:t>
      </w:r>
      <w:r w:rsidR="00476BE3" w:rsidRPr="00476BE3">
        <w:rPr>
          <w:shd w:val="clear" w:color="auto" w:fill="FFFFFF"/>
        </w:rPr>
        <w:t>2,2-bis(bromomethyl)propane-1,3-diol, sodium</w:t>
      </w:r>
      <w:r w:rsidR="00476BE3" w:rsidRPr="00476BE3">
        <w:rPr>
          <w:lang w:val="en-IE"/>
        </w:rPr>
        <w:t xml:space="preserve"> </w:t>
      </w:r>
      <w:r w:rsidR="00476BE3" w:rsidRPr="00476BE3">
        <w:rPr>
          <w:i/>
          <w:iCs/>
          <w:lang w:val="en-IE"/>
        </w:rPr>
        <w:t>N</w:t>
      </w:r>
      <w:r w:rsidR="00476BE3" w:rsidRPr="00476BE3">
        <w:rPr>
          <w:lang w:val="en-IE"/>
        </w:rPr>
        <w:t xml:space="preserve">-(hydroxymethyl)glycinate; </w:t>
      </w:r>
      <w:r w:rsidR="00476BE3" w:rsidRPr="00476BE3">
        <w:rPr>
          <w:rFonts w:eastAsia="Times New Roman"/>
          <w:lang w:val="en-IE" w:eastAsia="fr-BE"/>
        </w:rPr>
        <w:t xml:space="preserve">[formaldehyde released from sodium </w:t>
      </w:r>
      <w:r w:rsidR="00476BE3" w:rsidRPr="00476BE3">
        <w:rPr>
          <w:rFonts w:eastAsia="Times New Roman"/>
          <w:i/>
          <w:iCs/>
          <w:lang w:val="en-IE" w:eastAsia="fr-BE"/>
        </w:rPr>
        <w:t>N</w:t>
      </w:r>
      <w:r w:rsidR="00476BE3" w:rsidRPr="00476BE3">
        <w:rPr>
          <w:rFonts w:eastAsia="Times New Roman"/>
          <w:lang w:val="en-IE" w:eastAsia="fr-BE"/>
        </w:rPr>
        <w:t xml:space="preserve">-(hydroxymethyl)glycinate], </w:t>
      </w:r>
      <w:r w:rsidR="00476BE3" w:rsidRPr="00476BE3">
        <w:rPr>
          <w:shd w:val="clear" w:color="auto" w:fill="FFFFFF"/>
        </w:rPr>
        <w:t xml:space="preserve">butanone oxime; ethyl methyl ketoxime; ethyl methyl ketone oxime and </w:t>
      </w:r>
      <w:r w:rsidR="00476BE3" w:rsidRPr="00476BE3">
        <w:rPr>
          <w:rStyle w:val="oj-italic"/>
          <w:i/>
          <w:iCs/>
          <w:color w:val="444444"/>
          <w:szCs w:val="24"/>
        </w:rPr>
        <w:t>N</w:t>
      </w:r>
      <w:r w:rsidR="00476BE3" w:rsidRPr="00476BE3">
        <w:rPr>
          <w:shd w:val="clear" w:color="auto" w:fill="FFFFFF"/>
        </w:rPr>
        <w:t>-(hydroxymethyl)acrylamide; methylolacrylamide; [NMA]</w:t>
      </w:r>
      <w:r w:rsidRPr="00476BE3">
        <w:t xml:space="preserve"> shall</w:t>
      </w:r>
      <w:r>
        <w:t xml:space="preserve"> apply from 1 March 2022</w:t>
      </w:r>
      <w:r w:rsidR="00E54270">
        <w:t>,</w:t>
      </w:r>
    </w:p>
    <w:p w14:paraId="4FFBBD50" w14:textId="3EE05FC3" w:rsidR="00BF7C15" w:rsidRPr="00F133D8" w:rsidRDefault="00BF7C15" w:rsidP="00ED623E">
      <w:pPr>
        <w:pStyle w:val="Tiret1"/>
      </w:pPr>
      <w:r w:rsidRPr="00724206">
        <w:t>rows</w:t>
      </w:r>
      <w:r>
        <w:t xml:space="preserve"> </w:t>
      </w:r>
      <w:r w:rsidRPr="00476BE3">
        <w:t xml:space="preserve">concerning </w:t>
      </w:r>
      <w:r w:rsidR="00476BE3" w:rsidRPr="00476BE3">
        <w:t>tetrafluoroethylene, 1,4-dioxane and 7-oxa-3-oxiranylbicyclo[4.1.0]heptane; 1,2-epoxy-4-epoxyethylcyclohexane; 4-vinylcyclohexene diepoxide</w:t>
      </w:r>
      <w:r w:rsidR="00231510" w:rsidRPr="00476BE3">
        <w:t xml:space="preserve"> shall</w:t>
      </w:r>
      <w:r w:rsidR="00231510">
        <w:t xml:space="preserve"> apply from </w:t>
      </w:r>
      <w:r w:rsidR="00F133D8" w:rsidRPr="00F133D8">
        <w:rPr>
          <w:i/>
        </w:rPr>
        <w:t>…</w:t>
      </w:r>
      <w:r w:rsidRPr="00F133D8">
        <w:t>.</w:t>
      </w:r>
    </w:p>
    <w:p w14:paraId="079A823A" w14:textId="77777777" w:rsidR="00BF7C15" w:rsidRPr="001B2F8E" w:rsidRDefault="00BF7C15" w:rsidP="00E54270">
      <w:r>
        <w:lastRenderedPageBreak/>
        <w:t xml:space="preserve">Point </w:t>
      </w:r>
      <w:r w:rsidR="00BF5CCA">
        <w:t>(2)</w:t>
      </w:r>
      <w:r w:rsidRPr="00AB2FDB">
        <w:t xml:space="preserve"> of</w:t>
      </w:r>
      <w:r>
        <w:t xml:space="preserve"> the Annex shall apply from 1 March 2022.</w:t>
      </w:r>
    </w:p>
    <w:p w14:paraId="4D82AE95" w14:textId="77777777" w:rsidR="00BF7C15" w:rsidRDefault="00BF5CCA" w:rsidP="00E54270">
      <w:r>
        <w:t>Point (3</w:t>
      </w:r>
      <w:r w:rsidR="00BF7C15">
        <w:t>)</w:t>
      </w:r>
      <w:r w:rsidR="00BF7C15" w:rsidRPr="00AB2FDB">
        <w:t xml:space="preserve"> of</w:t>
      </w:r>
      <w:r w:rsidR="00BF7C15" w:rsidRPr="009C4C87">
        <w:t xml:space="preserve"> the Annex shall apply as follows:</w:t>
      </w:r>
    </w:p>
    <w:p w14:paraId="297056DB" w14:textId="5AE873D4" w:rsidR="00BF7C15" w:rsidRPr="00476BE3" w:rsidRDefault="00BF7C15" w:rsidP="00ED623E">
      <w:pPr>
        <w:pStyle w:val="Tiret1"/>
        <w:rPr>
          <w:shd w:val="clear" w:color="auto" w:fill="FFFFFF"/>
        </w:rPr>
      </w:pPr>
      <w:r w:rsidRPr="00724206">
        <w:t>rows</w:t>
      </w:r>
      <w:r w:rsidR="00476BE3">
        <w:t xml:space="preserve"> </w:t>
      </w:r>
      <w:r w:rsidR="00476BE3" w:rsidRPr="00476BE3">
        <w:t>concerning</w:t>
      </w:r>
      <w:r w:rsidR="00F60581">
        <w:t xml:space="preserve"> tris(2-methoxyethoxy)vin</w:t>
      </w:r>
      <w:r w:rsidR="00476BE3" w:rsidRPr="00476BE3">
        <w:rPr>
          <w:shd w:val="clear" w:color="auto" w:fill="FFFFFF"/>
        </w:rPr>
        <w:t>ylsilan</w:t>
      </w:r>
      <w:r w:rsidR="00F60581">
        <w:rPr>
          <w:shd w:val="clear" w:color="auto" w:fill="FFFFFF"/>
        </w:rPr>
        <w:t>e; 6-(2-m</w:t>
      </w:r>
      <w:r w:rsidR="00476BE3" w:rsidRPr="00476BE3">
        <w:rPr>
          <w:shd w:val="clear" w:color="auto" w:fill="FFFFFF"/>
        </w:rPr>
        <w:t>ethoxyethoxy</w:t>
      </w:r>
      <w:r w:rsidR="00C71E7A">
        <w:rPr>
          <w:shd w:val="clear" w:color="auto" w:fill="FFFFFF"/>
        </w:rPr>
        <w:t>)-6-vinyl-2,5,7,10-tetraoxa-6-silaundecane, d</w:t>
      </w:r>
      <w:r w:rsidR="00476BE3" w:rsidRPr="00476BE3">
        <w:rPr>
          <w:shd w:val="clear" w:color="auto" w:fill="FFFFFF"/>
        </w:rPr>
        <w:t>ichlorodioctylstannane, dioctyltin dilaurate; [1] stannane, dioctyl-, bis(coco acyloxy) derivs. [2],</w:t>
      </w:r>
      <w:r w:rsidR="006448A7">
        <w:rPr>
          <w:shd w:val="clear" w:color="auto" w:fill="FFFFFF"/>
        </w:rPr>
        <w:t xml:space="preserve"> ipconazole</w:t>
      </w:r>
      <w:r w:rsidR="00476BE3" w:rsidRPr="00476BE3">
        <w:t xml:space="preserve"> (ISO); (1</w:t>
      </w:r>
      <w:r w:rsidR="00476BE3" w:rsidRPr="00476BE3">
        <w:rPr>
          <w:rStyle w:val="oj-italic"/>
          <w:i/>
          <w:iCs/>
          <w:color w:val="444444"/>
          <w:szCs w:val="24"/>
        </w:rPr>
        <w:t>RS</w:t>
      </w:r>
      <w:r w:rsidR="00476BE3" w:rsidRPr="00476BE3">
        <w:t>,2</w:t>
      </w:r>
      <w:r w:rsidR="00476BE3" w:rsidRPr="00476BE3">
        <w:rPr>
          <w:rStyle w:val="oj-italic"/>
          <w:i/>
          <w:iCs/>
          <w:color w:val="444444"/>
          <w:szCs w:val="24"/>
        </w:rPr>
        <w:t>SR</w:t>
      </w:r>
      <w:r w:rsidR="00476BE3" w:rsidRPr="00476BE3">
        <w:t>,5</w:t>
      </w:r>
      <w:r w:rsidR="00476BE3" w:rsidRPr="00476BE3">
        <w:rPr>
          <w:rStyle w:val="oj-italic"/>
          <w:i/>
          <w:iCs/>
          <w:color w:val="444444"/>
          <w:szCs w:val="24"/>
        </w:rPr>
        <w:t>RS</w:t>
      </w:r>
      <w:r w:rsidR="00476BE3" w:rsidRPr="00476BE3">
        <w:t>;1</w:t>
      </w:r>
      <w:r w:rsidR="00476BE3" w:rsidRPr="00476BE3">
        <w:rPr>
          <w:rStyle w:val="oj-italic"/>
          <w:i/>
          <w:iCs/>
          <w:color w:val="444444"/>
          <w:szCs w:val="24"/>
        </w:rPr>
        <w:t>RS</w:t>
      </w:r>
      <w:r w:rsidR="00476BE3" w:rsidRPr="00476BE3">
        <w:t>,2</w:t>
      </w:r>
      <w:r w:rsidR="00476BE3" w:rsidRPr="00476BE3">
        <w:rPr>
          <w:rStyle w:val="oj-italic"/>
          <w:i/>
          <w:iCs/>
          <w:color w:val="444444"/>
          <w:szCs w:val="24"/>
        </w:rPr>
        <w:t>SR</w:t>
      </w:r>
      <w:r w:rsidR="00476BE3" w:rsidRPr="00476BE3">
        <w:t>,5</w:t>
      </w:r>
      <w:r w:rsidR="00476BE3" w:rsidRPr="00476BE3">
        <w:rPr>
          <w:rStyle w:val="oj-italic"/>
          <w:i/>
          <w:iCs/>
          <w:color w:val="444444"/>
          <w:szCs w:val="24"/>
        </w:rPr>
        <w:t>SR</w:t>
      </w:r>
      <w:r w:rsidR="00476BE3" w:rsidRPr="00476BE3">
        <w:t>)-2-(4-chlorobenzyl)-5-isopropyl-1-(1</w:t>
      </w:r>
      <w:r w:rsidR="00476BE3" w:rsidRPr="00476BE3">
        <w:rPr>
          <w:rStyle w:val="oj-italic"/>
          <w:i/>
          <w:iCs/>
          <w:color w:val="444444"/>
          <w:szCs w:val="24"/>
        </w:rPr>
        <w:t>H</w:t>
      </w:r>
      <w:r w:rsidR="00476BE3" w:rsidRPr="00476BE3">
        <w:t xml:space="preserve">-1,2,4-triazol-1-ylmethyl)cyclopentanol, </w:t>
      </w:r>
      <w:r w:rsidR="00476BE3" w:rsidRPr="00476BE3">
        <w:rPr>
          <w:shd w:val="clear" w:color="auto" w:fill="FFFFFF"/>
        </w:rPr>
        <w:t>bis(2-(2-methoxyethoxy)ethyl)ether; tetraglyme, 2-(4-</w:t>
      </w:r>
      <w:r w:rsidR="00476BE3" w:rsidRPr="00476BE3">
        <w:rPr>
          <w:rStyle w:val="oj-italic"/>
          <w:i/>
          <w:iCs/>
          <w:color w:val="444444"/>
          <w:szCs w:val="24"/>
        </w:rPr>
        <w:t>tert</w:t>
      </w:r>
      <w:r w:rsidR="00476BE3" w:rsidRPr="00476BE3">
        <w:rPr>
          <w:shd w:val="clear" w:color="auto" w:fill="FFFFFF"/>
        </w:rPr>
        <w:t>-butylbenzyl)propionaldehyde, diisooctyl phthalate, 2-methoxyethyl acrylate, pyrithione zinc; (</w:t>
      </w:r>
      <w:r w:rsidR="00476BE3" w:rsidRPr="00476BE3">
        <w:rPr>
          <w:rStyle w:val="oj-italic"/>
          <w:i/>
          <w:iCs/>
          <w:color w:val="444444"/>
          <w:szCs w:val="24"/>
        </w:rPr>
        <w:t>T</w:t>
      </w:r>
      <w:r w:rsidR="00476BE3" w:rsidRPr="00476BE3">
        <w:rPr>
          <w:shd w:val="clear" w:color="auto" w:fill="FFFFFF"/>
        </w:rPr>
        <w:t>-4)-bis[1-(hydroxy-.kappa.</w:t>
      </w:r>
      <w:r w:rsidR="00476BE3" w:rsidRPr="00476BE3">
        <w:rPr>
          <w:rStyle w:val="oj-italic"/>
          <w:i/>
          <w:iCs/>
          <w:color w:val="444444"/>
          <w:szCs w:val="24"/>
        </w:rPr>
        <w:t>O</w:t>
      </w:r>
      <w:r w:rsidR="00476BE3" w:rsidRPr="00476BE3">
        <w:rPr>
          <w:shd w:val="clear" w:color="auto" w:fill="FFFFFF"/>
        </w:rPr>
        <w:t>)pyridine-2(1</w:t>
      </w:r>
      <w:r w:rsidR="00476BE3" w:rsidRPr="00476BE3">
        <w:rPr>
          <w:rStyle w:val="oj-italic"/>
          <w:i/>
          <w:iCs/>
          <w:color w:val="444444"/>
          <w:szCs w:val="24"/>
        </w:rPr>
        <w:t>H</w:t>
      </w:r>
      <w:r w:rsidR="00476BE3" w:rsidRPr="00476BE3">
        <w:rPr>
          <w:shd w:val="clear" w:color="auto" w:fill="FFFFFF"/>
        </w:rPr>
        <w:t>)-thionato-.kappa.</w:t>
      </w:r>
      <w:r w:rsidR="00476BE3" w:rsidRPr="00476BE3">
        <w:rPr>
          <w:rStyle w:val="oj-italic"/>
          <w:i/>
          <w:iCs/>
          <w:color w:val="444444"/>
          <w:szCs w:val="24"/>
        </w:rPr>
        <w:t>S</w:t>
      </w:r>
      <w:r w:rsidR="00476BE3" w:rsidRPr="00476BE3">
        <w:rPr>
          <w:shd w:val="clear" w:color="auto" w:fill="FFFFFF"/>
        </w:rPr>
        <w:t>]zinc, flurochloridone</w:t>
      </w:r>
      <w:r w:rsidR="00476BE3" w:rsidRPr="00476BE3">
        <w:rPr>
          <w:lang w:val="en-IE"/>
        </w:rPr>
        <w:t xml:space="preserve"> (ISO); </w:t>
      </w:r>
      <w:r w:rsidR="00476BE3" w:rsidRPr="00476BE3">
        <w:rPr>
          <w:rFonts w:eastAsia="Times New Roman"/>
          <w:lang w:val="en-IE" w:eastAsia="fr-BE"/>
        </w:rPr>
        <w:t xml:space="preserve">3-chloro-4-(chloromethyl)-1-[3-(trifluoromethyl)phenyl]pyrrolidin-2-one and </w:t>
      </w:r>
      <w:r w:rsidR="00476BE3" w:rsidRPr="00476BE3">
        <w:rPr>
          <w:shd w:val="clear" w:color="auto" w:fill="FFFFFF"/>
        </w:rPr>
        <w:t>bis(α,α-dimethylbenzyl) peroxide</w:t>
      </w:r>
      <w:r w:rsidR="00E54270">
        <w:t xml:space="preserve"> shall apply from 1 March 2022,</w:t>
      </w:r>
    </w:p>
    <w:p w14:paraId="55C0E966" w14:textId="5F4F47EC" w:rsidR="00BF7C15" w:rsidRPr="00476BE3" w:rsidRDefault="00BF7C15" w:rsidP="00ED623E">
      <w:pPr>
        <w:pStyle w:val="Tiret1"/>
      </w:pPr>
      <w:r w:rsidRPr="00476BE3">
        <w:t xml:space="preserve">rows concerning </w:t>
      </w:r>
      <w:r w:rsidR="00476BE3" w:rsidRPr="00476BE3">
        <w:rPr>
          <w:color w:val="000000"/>
        </w:rPr>
        <w:t xml:space="preserve">mancozeb (ISO); manganese ethylenebis(dithiocarbamate) (polymeric ) complex with zinc salt, </w:t>
      </w:r>
      <w:r w:rsidR="00EB7734" w:rsidRPr="00476BE3">
        <w:rPr>
          <w:color w:val="000000"/>
        </w:rPr>
        <w:t>7-oxa-3-oxiranylbicyclo[4.1.0]heptane; 1,2-epoxy-4-epoxyethylcyclohexane; 4-vinylcyclohexene diepoxide</w:t>
      </w:r>
      <w:r w:rsidR="00EB7734">
        <w:rPr>
          <w:color w:val="000000"/>
        </w:rPr>
        <w:t>,</w:t>
      </w:r>
      <w:r w:rsidR="00EB7734" w:rsidRPr="00476BE3">
        <w:rPr>
          <w:color w:val="000000"/>
        </w:rPr>
        <w:t xml:space="preserve"> </w:t>
      </w:r>
      <w:r w:rsidR="00476BE3" w:rsidRPr="00476BE3">
        <w:rPr>
          <w:color w:val="000000"/>
        </w:rPr>
        <w:t>6,6'-di-</w:t>
      </w:r>
      <w:r w:rsidR="00476BE3" w:rsidRPr="00476BE3">
        <w:rPr>
          <w:i/>
          <w:color w:val="000000"/>
        </w:rPr>
        <w:t>tert</w:t>
      </w:r>
      <w:r w:rsidR="00476BE3" w:rsidRPr="00476BE3">
        <w:rPr>
          <w:color w:val="000000"/>
        </w:rPr>
        <w:t>-butyl-2,2'-methylenedi-</w:t>
      </w:r>
      <w:r w:rsidR="00476BE3" w:rsidRPr="00476BE3">
        <w:rPr>
          <w:i/>
          <w:color w:val="000000"/>
        </w:rPr>
        <w:t>p</w:t>
      </w:r>
      <w:r w:rsidR="00476BE3" w:rsidRPr="00476BE3">
        <w:rPr>
          <w:color w:val="000000"/>
        </w:rPr>
        <w:t>-cresol; [DBMC], dimethomorph (ISO); (</w:t>
      </w:r>
      <w:r w:rsidR="00476BE3" w:rsidRPr="00476BE3">
        <w:rPr>
          <w:i/>
          <w:color w:val="000000"/>
        </w:rPr>
        <w:t>E</w:t>
      </w:r>
      <w:r w:rsidR="00476BE3" w:rsidRPr="00476BE3">
        <w:rPr>
          <w:color w:val="000000"/>
        </w:rPr>
        <w:t>,</w:t>
      </w:r>
      <w:r w:rsidR="00476BE3" w:rsidRPr="00476BE3">
        <w:rPr>
          <w:i/>
          <w:color w:val="000000"/>
        </w:rPr>
        <w:t>Z</w:t>
      </w:r>
      <w:r w:rsidR="00476BE3" w:rsidRPr="00476BE3">
        <w:rPr>
          <w:color w:val="000000"/>
        </w:rPr>
        <w:t>)-4-(3-(4-chlorophenyl)-3-(3,4-dimethoxyphenyl)acryloyl)morpholine, 1,2,4-triazole and 3-methylpyrazole</w:t>
      </w:r>
      <w:r w:rsidR="00231510" w:rsidRPr="00476BE3">
        <w:t xml:space="preserve"> shall apply from</w:t>
      </w:r>
      <w:r w:rsidR="00F133D8">
        <w:t xml:space="preserve"> .…</w:t>
      </w:r>
    </w:p>
    <w:p w14:paraId="37B61BF6" w14:textId="77777777" w:rsidR="009E50D8" w:rsidRDefault="009E50D8" w:rsidP="00F404D5">
      <w:pPr>
        <w:pStyle w:val="Applicationdirecte"/>
      </w:pPr>
      <w:r w:rsidRPr="00A01AA1">
        <w:t>This Regulation shall be binding in its entirety and directly applicable in all Member States.</w:t>
      </w:r>
    </w:p>
    <w:p w14:paraId="605B7A97" w14:textId="56F4328A" w:rsidR="009E50D8" w:rsidRDefault="00ED623E" w:rsidP="00ED623E">
      <w:pPr>
        <w:pStyle w:val="Fait"/>
      </w:pPr>
      <w:r w:rsidRPr="00ED623E">
        <w:t>Done at Brussels,</w:t>
      </w:r>
    </w:p>
    <w:p w14:paraId="307AE4F9" w14:textId="77777777" w:rsidR="009E50D8" w:rsidRDefault="009E50D8" w:rsidP="009E50D8">
      <w:pPr>
        <w:pStyle w:val="Institutionquisigne"/>
      </w:pPr>
      <w:r w:rsidRPr="009E50D8">
        <w:tab/>
        <w:t>For the Commission</w:t>
      </w:r>
    </w:p>
    <w:p w14:paraId="75AEF06E" w14:textId="77777777" w:rsidR="009E50D8" w:rsidRPr="009E50D8" w:rsidRDefault="00064BAF" w:rsidP="009E50D8">
      <w:pPr>
        <w:pStyle w:val="Personnequisigne"/>
      </w:pPr>
      <w:r>
        <w:tab/>
        <w:t>The President</w:t>
      </w:r>
      <w:r>
        <w:br/>
      </w:r>
      <w:r>
        <w:tab/>
        <w:t>Ursula von der Leyen</w:t>
      </w:r>
    </w:p>
    <w:sectPr w:rsidR="009E50D8" w:rsidRPr="009E50D8" w:rsidSect="00A41804">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D4FAB" w14:textId="77777777" w:rsidR="009E50D8" w:rsidRDefault="009E50D8" w:rsidP="009E50D8">
      <w:pPr>
        <w:spacing w:before="0" w:after="0"/>
      </w:pPr>
      <w:r>
        <w:separator/>
      </w:r>
    </w:p>
  </w:endnote>
  <w:endnote w:type="continuationSeparator" w:id="0">
    <w:p w14:paraId="1B0FC820" w14:textId="77777777" w:rsidR="009E50D8" w:rsidRDefault="009E50D8" w:rsidP="009E50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AE327" w14:textId="40475003" w:rsidR="009E50D8" w:rsidRPr="00A41804" w:rsidRDefault="00A41804" w:rsidP="00A41804">
    <w:pPr>
      <w:pStyle w:val="Footer"/>
      <w:rPr>
        <w:rFonts w:ascii="Arial" w:hAnsi="Arial" w:cs="Arial"/>
        <w:b/>
        <w:sz w:val="48"/>
      </w:rPr>
    </w:pPr>
    <w:r w:rsidRPr="00A41804">
      <w:rPr>
        <w:rFonts w:ascii="Arial" w:hAnsi="Arial" w:cs="Arial"/>
        <w:b/>
        <w:sz w:val="48"/>
      </w:rPr>
      <w:t>EN</w:t>
    </w:r>
    <w:r w:rsidRPr="00A41804">
      <w:rPr>
        <w:rFonts w:ascii="Arial" w:hAnsi="Arial" w:cs="Arial"/>
        <w:b/>
        <w:sz w:val="48"/>
      </w:rPr>
      <w:tab/>
    </w:r>
    <w:r w:rsidRPr="00A41804">
      <w:rPr>
        <w:rFonts w:ascii="Arial" w:hAnsi="Arial" w:cs="Arial"/>
        <w:b/>
        <w:sz w:val="48"/>
      </w:rPr>
      <w:tab/>
    </w:r>
    <w:r w:rsidRPr="00A41804">
      <w:tab/>
    </w:r>
    <w:r w:rsidRPr="00A41804">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4AB1" w14:textId="53B9FD52" w:rsidR="00A41804" w:rsidRPr="00A41804" w:rsidRDefault="00A41804" w:rsidP="00A41804">
    <w:pPr>
      <w:pStyle w:val="Footer"/>
      <w:rPr>
        <w:rFonts w:ascii="Arial" w:hAnsi="Arial" w:cs="Arial"/>
        <w:b/>
        <w:sz w:val="48"/>
      </w:rPr>
    </w:pPr>
    <w:r w:rsidRPr="00A41804">
      <w:rPr>
        <w:rFonts w:ascii="Arial" w:hAnsi="Arial" w:cs="Arial"/>
        <w:b/>
        <w:sz w:val="48"/>
      </w:rPr>
      <w:t>EN</w:t>
    </w:r>
    <w:r w:rsidRPr="00A41804">
      <w:rPr>
        <w:rFonts w:ascii="Arial" w:hAnsi="Arial" w:cs="Arial"/>
        <w:b/>
        <w:sz w:val="48"/>
      </w:rPr>
      <w:tab/>
    </w:r>
    <w:r>
      <w:fldChar w:fldCharType="begin"/>
    </w:r>
    <w:r>
      <w:instrText xml:space="preserve"> PAGE  \* MERGEFORMAT </w:instrText>
    </w:r>
    <w:r>
      <w:fldChar w:fldCharType="separate"/>
    </w:r>
    <w:r w:rsidR="00805167">
      <w:rPr>
        <w:noProof/>
      </w:rPr>
      <w:t>1</w:t>
    </w:r>
    <w:r>
      <w:fldChar w:fldCharType="end"/>
    </w:r>
    <w:r>
      <w:tab/>
    </w:r>
    <w:r w:rsidRPr="00A41804">
      <w:tab/>
    </w:r>
    <w:r w:rsidRPr="00A4180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DA48" w14:textId="77777777" w:rsidR="00A41804" w:rsidRPr="00A41804" w:rsidRDefault="00A41804" w:rsidP="00A41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59877" w14:textId="77777777" w:rsidR="009E50D8" w:rsidRDefault="009E50D8" w:rsidP="009E50D8">
      <w:pPr>
        <w:spacing w:before="0" w:after="0"/>
      </w:pPr>
      <w:r>
        <w:separator/>
      </w:r>
    </w:p>
  </w:footnote>
  <w:footnote w:type="continuationSeparator" w:id="0">
    <w:p w14:paraId="140781C8" w14:textId="77777777" w:rsidR="009E50D8" w:rsidRDefault="009E50D8" w:rsidP="009E50D8">
      <w:pPr>
        <w:spacing w:before="0" w:after="0"/>
      </w:pPr>
      <w:r>
        <w:continuationSeparator/>
      </w:r>
    </w:p>
  </w:footnote>
  <w:footnote w:id="1">
    <w:p w14:paraId="77E11D64" w14:textId="50594B1F" w:rsidR="009E50D8" w:rsidRDefault="009E50D8" w:rsidP="001C3314">
      <w:pPr>
        <w:pStyle w:val="FootnoteText"/>
      </w:pPr>
      <w:r>
        <w:rPr>
          <w:rStyle w:val="FootnoteReference"/>
        </w:rPr>
        <w:footnoteRef/>
      </w:r>
      <w:r w:rsidR="00E54270">
        <w:tab/>
        <w:t>OJ L 396, 30.12.2006, p. 1.</w:t>
      </w:r>
    </w:p>
  </w:footnote>
  <w:footnote w:id="2">
    <w:p w14:paraId="12317892" w14:textId="77777777" w:rsidR="009E50D8" w:rsidRPr="00AB2FDB" w:rsidRDefault="009E50D8" w:rsidP="009E50D8">
      <w:pPr>
        <w:pStyle w:val="FootnoteText"/>
      </w:pPr>
      <w:r>
        <w:rPr>
          <w:rStyle w:val="FootnoteReference"/>
        </w:rPr>
        <w:footnoteRef/>
      </w:r>
      <w:r w:rsidRPr="00AB2FDB">
        <w:rPr>
          <w:lang w:val="en-IE"/>
        </w:rPr>
        <w:tab/>
      </w:r>
      <w:r w:rsidRPr="008B4C1A">
        <w:t>Regulation (EC) No 1272/2008 of the European Parliament and of the Council of 16 December 2008 on classification, labelling and packa</w:t>
      </w:r>
      <w:r>
        <w:t>ging of substances and mixtures</w:t>
      </w:r>
      <w:r w:rsidRPr="00997286">
        <w:t>, amending and repealing Directives 67/548/EEC and 1999/45/EC, and amending Regulation (EC) No 1907/2006</w:t>
      </w:r>
      <w:r w:rsidRPr="00951C6B">
        <w:t xml:space="preserve"> </w:t>
      </w:r>
      <w:r>
        <w:t>(</w:t>
      </w:r>
      <w:r w:rsidRPr="009D7933">
        <w:t>OJ L 353, 31.12.2008, p.</w:t>
      </w:r>
      <w:r>
        <w:t xml:space="preserve"> </w:t>
      </w:r>
      <w:r w:rsidRPr="009D7933">
        <w:t>1</w:t>
      </w:r>
      <w:r>
        <w:t>)</w:t>
      </w:r>
      <w:r w:rsidRPr="009D7933">
        <w:t>.</w:t>
      </w:r>
    </w:p>
  </w:footnote>
  <w:footnote w:id="3">
    <w:p w14:paraId="0743B5AA" w14:textId="6E9F76C4" w:rsidR="00E54270" w:rsidRPr="003568CA" w:rsidRDefault="00E54270">
      <w:pPr>
        <w:pStyle w:val="FootnoteText"/>
        <w:rPr>
          <w:lang w:val="en-IE"/>
        </w:rPr>
      </w:pPr>
      <w:r>
        <w:rPr>
          <w:rStyle w:val="FootnoteReference"/>
        </w:rPr>
        <w:footnoteRef/>
      </w:r>
      <w:r w:rsidRPr="003568CA">
        <w:rPr>
          <w:lang w:val="en-IE"/>
        </w:rPr>
        <w:tab/>
      </w:r>
      <w:r w:rsidR="003568CA" w:rsidRPr="001805A8">
        <w:t>Commission Regulation (EU) 2020/2096 of 15 December 2020 amending Annex XVII to Regulation (EC) No 1907/2006 of the European Parliament and of the Council concerning the Registration, Evaluation, Authorisation and Restriction of Chemicals (REACH), as regards carcinogenic, mutagenic or reproductive toxicant (CMR) substances, devices covered by Regulation (EU) 2017/745 of the European Parliament and of the Council, persistent organic pollutants, certain liquid substances or mixtures, nonylphenol and testing methods for azocolourants</w:t>
      </w:r>
      <w:r w:rsidR="003568CA">
        <w:t xml:space="preserve"> (</w:t>
      </w:r>
      <w:r w:rsidR="003568CA" w:rsidRPr="005E480B">
        <w:t>OJ L 425, 16.12.2020, p. 3</w:t>
      </w:r>
      <w:r w:rsidR="003568CA">
        <w:t>).</w:t>
      </w:r>
    </w:p>
  </w:footnote>
  <w:footnote w:id="4">
    <w:p w14:paraId="7133FD4F" w14:textId="77777777" w:rsidR="009E50D8" w:rsidRPr="00FB4A9F" w:rsidRDefault="009E50D8" w:rsidP="009E50D8">
      <w:pPr>
        <w:pStyle w:val="FootnoteText"/>
        <w:rPr>
          <w:lang w:val="en-IE"/>
        </w:rPr>
      </w:pPr>
      <w:r>
        <w:rPr>
          <w:rStyle w:val="FootnoteReference"/>
        </w:rPr>
        <w:footnoteRef/>
      </w:r>
      <w:r w:rsidRPr="00FB4A9F">
        <w:rPr>
          <w:lang w:val="en-IE"/>
        </w:rPr>
        <w:tab/>
        <w:t xml:space="preserve">Commission Delegated Regulation (EU) </w:t>
      </w:r>
      <w:r>
        <w:rPr>
          <w:lang w:val="en-IE"/>
        </w:rPr>
        <w:t>2020</w:t>
      </w:r>
      <w:r w:rsidRPr="00FB4A9F">
        <w:rPr>
          <w:lang w:val="en-IE"/>
        </w:rPr>
        <w:t>/</w:t>
      </w:r>
      <w:r>
        <w:rPr>
          <w:lang w:val="en-IE"/>
        </w:rPr>
        <w:t>1182 of 19 May 2020 amending, for the purposes of its adaptation to technical and scientific progress, Part 3 of Annex VI to Regulation (EC) No 1272/2008 of the European Parliament and of the Council on classification, labelling and packaging of substances and mixtures (OJ L 261, 11.8.2020, p. 2).</w:t>
      </w:r>
    </w:p>
  </w:footnote>
  <w:footnote w:id="5">
    <w:p w14:paraId="7289B7F5" w14:textId="44DF40A6" w:rsidR="0096075F" w:rsidRPr="00BC186D" w:rsidRDefault="0096075F" w:rsidP="0096075F">
      <w:pPr>
        <w:pStyle w:val="FootnoteText"/>
        <w:rPr>
          <w:b/>
          <w:i/>
          <w:lang w:val="en-IE"/>
        </w:rPr>
      </w:pPr>
      <w:r>
        <w:rPr>
          <w:rStyle w:val="FootnoteReference"/>
        </w:rPr>
        <w:footnoteRef/>
      </w:r>
      <w:r>
        <w:rPr>
          <w:lang w:val="en-IE"/>
        </w:rPr>
        <w:tab/>
      </w:r>
      <w:r w:rsidR="0075602B" w:rsidRPr="00FB4A9F">
        <w:rPr>
          <w:lang w:val="en-IE"/>
        </w:rPr>
        <w:t xml:space="preserve">Commission Delegated Regulation (EU) </w:t>
      </w:r>
      <w:r w:rsidR="0075602B">
        <w:rPr>
          <w:lang w:val="en-IE"/>
        </w:rPr>
        <w:t>2021</w:t>
      </w:r>
      <w:r w:rsidR="0075602B" w:rsidRPr="00FB4A9F">
        <w:rPr>
          <w:lang w:val="en-IE"/>
        </w:rPr>
        <w:t>/</w:t>
      </w:r>
      <w:r w:rsidR="00D93EFD">
        <w:rPr>
          <w:lang w:val="en-IE"/>
        </w:rPr>
        <w:t>… of 11 March</w:t>
      </w:r>
      <w:r w:rsidR="0075602B">
        <w:rPr>
          <w:lang w:val="en-IE"/>
        </w:rPr>
        <w:t xml:space="preserve"> 2021 amending, for the purposes of its adaptation to technical and scientific progress, </w:t>
      </w:r>
      <w:r w:rsidR="00D93EFD">
        <w:rPr>
          <w:lang w:val="en-IE"/>
        </w:rPr>
        <w:t xml:space="preserve">Part 3 of </w:t>
      </w:r>
      <w:r w:rsidR="0075602B">
        <w:rPr>
          <w:lang w:val="en-IE"/>
        </w:rPr>
        <w:t>Annex VI to Regulation (EC) No 1272/2008 of the European Parliament and of the Council on classification, labelling and packaging of substances and mixtures (OJ …)</w:t>
      </w:r>
      <w:r w:rsidR="00E54270">
        <w:rPr>
          <w:lang w:val="en-IE"/>
        </w:rPr>
        <w:t>.</w:t>
      </w:r>
      <w:r w:rsidR="0075602B" w:rsidRPr="00BC186D">
        <w:rPr>
          <w:b/>
          <w:i/>
          <w:lang w:val="en-IE"/>
        </w:rPr>
        <w:t xml:space="preserve"> </w:t>
      </w:r>
      <w:r w:rsidRPr="00BC186D">
        <w:rPr>
          <w:b/>
          <w:i/>
          <w:lang w:val="en-IE"/>
        </w:rPr>
        <w:t>[</w:t>
      </w:r>
      <w:r w:rsidR="0075602B">
        <w:rPr>
          <w:b/>
          <w:i/>
          <w:lang w:val="en-IE"/>
        </w:rPr>
        <w:t xml:space="preserve">This is the act </w:t>
      </w:r>
      <w:r w:rsidR="00D93EFD">
        <w:rPr>
          <w:b/>
          <w:i/>
          <w:lang w:val="en-IE"/>
        </w:rPr>
        <w:t>adopted</w:t>
      </w:r>
      <w:r w:rsidR="0075602B">
        <w:rPr>
          <w:b/>
          <w:i/>
          <w:lang w:val="en-IE"/>
        </w:rPr>
        <w:t xml:space="preserve"> under number </w:t>
      </w:r>
      <w:r w:rsidR="00D93EFD">
        <w:rPr>
          <w:b/>
          <w:i/>
          <w:lang w:val="en-IE"/>
        </w:rPr>
        <w:t>C(2021)1533 final</w:t>
      </w:r>
      <w:r w:rsidR="0075602B">
        <w:rPr>
          <w:b/>
          <w:i/>
          <w:lang w:val="en-IE"/>
        </w:rPr>
        <w:t xml:space="preserve">. It </w:t>
      </w:r>
      <w:r w:rsidR="00D93EFD">
        <w:rPr>
          <w:b/>
          <w:i/>
          <w:lang w:val="en-IE"/>
        </w:rPr>
        <w:t xml:space="preserve">appears in the Register of delegated and implementing acts </w:t>
      </w:r>
      <w:r w:rsidR="0075602B">
        <w:rPr>
          <w:b/>
          <w:i/>
          <w:lang w:val="en-IE"/>
        </w:rPr>
        <w:t>under</w:t>
      </w:r>
      <w:r w:rsidR="00D93EFD">
        <w:rPr>
          <w:b/>
          <w:i/>
          <w:lang w:val="en-IE"/>
        </w:rPr>
        <w:t xml:space="preserve"> </w:t>
      </w:r>
      <w:hyperlink r:id="rId1" w:anchor="/delegatedActs/1452" w:history="1">
        <w:r w:rsidR="00D93EFD" w:rsidRPr="001015FF">
          <w:rPr>
            <w:rStyle w:val="Hyperlink"/>
            <w:b/>
            <w:i/>
            <w:lang w:val="en-IE"/>
          </w:rPr>
          <w:t>https://webgate.ec.europa.eu/regdel/#/delegatedActs/1452</w:t>
        </w:r>
      </w:hyperlink>
      <w:r w:rsidR="0075602B">
        <w:rPr>
          <w:b/>
          <w:i/>
          <w:lang w:val="en-I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42B81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A4A06C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F4FE4B9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B4A0B8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1721EE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B0A52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30F79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49CF7F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1"/>
    <w:lvlOverride w:ilvl="0">
      <w:startOverride w:val="1"/>
    </w:lvlOverride>
  </w:num>
  <w:num w:numId="8">
    <w:abstractNumId w:val="2"/>
  </w:num>
  <w:num w:numId="9">
    <w:abstractNumId w:val="0"/>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9 17:19: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VERPAGE_EXISTS" w:val="True"/>
    <w:docVar w:name="LW_COVERPAGE_GUID" w:val="49D6EA05-13E6-4B36-B5EF-09CDA2D9BD86"/>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1"/>
    <w:docVar w:name="LW_ID_DOCSIGNATURE" w:val="SJ-001"/>
    <w:docVar w:name="LW_ID_DOCSTRUCTURE" w:val="COM/AA"/>
    <w:docVar w:name="LW_ID_DOCTYPE" w:val="SJ-001"/>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nnex XVII to Regulation (EC) No 1907/2006 of the European Parliament and of the Council concerning the Registration, Evaluation, Authorisation and Restriction of Chemicals (REACH), as regards carcinogenic, mutagenic or reproductive toxicant (CMR) substances"/>
    <w:docVar w:name="LW_TYPE.DOC.CP" w:val="COMMISSION REGULATION (EU) \u8230?/\u8230?"/>
  </w:docVars>
  <w:rsids>
    <w:rsidRoot w:val="009E50D8"/>
    <w:rsid w:val="000036E2"/>
    <w:rsid w:val="00064BAF"/>
    <w:rsid w:val="000A7517"/>
    <w:rsid w:val="000E198E"/>
    <w:rsid w:val="00120B8B"/>
    <w:rsid w:val="001562DD"/>
    <w:rsid w:val="001824EB"/>
    <w:rsid w:val="001875B1"/>
    <w:rsid w:val="001C2816"/>
    <w:rsid w:val="001F26F3"/>
    <w:rsid w:val="00231510"/>
    <w:rsid w:val="00271869"/>
    <w:rsid w:val="003568CA"/>
    <w:rsid w:val="00476BE3"/>
    <w:rsid w:val="0055604F"/>
    <w:rsid w:val="00601E77"/>
    <w:rsid w:val="006448A7"/>
    <w:rsid w:val="0064623D"/>
    <w:rsid w:val="00690500"/>
    <w:rsid w:val="0070128F"/>
    <w:rsid w:val="0075602B"/>
    <w:rsid w:val="007C06F6"/>
    <w:rsid w:val="00805167"/>
    <w:rsid w:val="008D5BC3"/>
    <w:rsid w:val="0096044A"/>
    <w:rsid w:val="0096075F"/>
    <w:rsid w:val="00986B33"/>
    <w:rsid w:val="00987AD5"/>
    <w:rsid w:val="009B7138"/>
    <w:rsid w:val="009D7D91"/>
    <w:rsid w:val="009E50D8"/>
    <w:rsid w:val="00A2395A"/>
    <w:rsid w:val="00A41804"/>
    <w:rsid w:val="00AD47C8"/>
    <w:rsid w:val="00AF6696"/>
    <w:rsid w:val="00B337FA"/>
    <w:rsid w:val="00B74A4C"/>
    <w:rsid w:val="00B84CC5"/>
    <w:rsid w:val="00BC186D"/>
    <w:rsid w:val="00BE246D"/>
    <w:rsid w:val="00BF17AA"/>
    <w:rsid w:val="00BF5CCA"/>
    <w:rsid w:val="00BF7280"/>
    <w:rsid w:val="00BF7C15"/>
    <w:rsid w:val="00C24556"/>
    <w:rsid w:val="00C6561C"/>
    <w:rsid w:val="00C71E7A"/>
    <w:rsid w:val="00C97736"/>
    <w:rsid w:val="00D01C6D"/>
    <w:rsid w:val="00D93EFD"/>
    <w:rsid w:val="00E54270"/>
    <w:rsid w:val="00E767B4"/>
    <w:rsid w:val="00EB7734"/>
    <w:rsid w:val="00EC0546"/>
    <w:rsid w:val="00ED623E"/>
    <w:rsid w:val="00F133D8"/>
    <w:rsid w:val="00F20062"/>
    <w:rsid w:val="00F33C42"/>
    <w:rsid w:val="00F52699"/>
    <w:rsid w:val="00F6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DF8761"/>
  <w15:docId w15:val="{4AA95955-B62A-4EA2-A2BB-EF905610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rsid w:val="009E50D8"/>
    <w:pPr>
      <w:numPr>
        <w:numId w:val="1"/>
      </w:numPr>
      <w:contextualSpacing/>
    </w:pPr>
  </w:style>
  <w:style w:type="paragraph" w:styleId="ListBullet">
    <w:name w:val="List Bullet"/>
    <w:basedOn w:val="Normal"/>
    <w:uiPriority w:val="99"/>
    <w:semiHidden/>
    <w:unhideWhenUsed/>
    <w:rsid w:val="0096075F"/>
    <w:pPr>
      <w:numPr>
        <w:numId w:val="2"/>
      </w:numPr>
      <w:contextualSpacing/>
    </w:pPr>
  </w:style>
  <w:style w:type="paragraph" w:styleId="ListBullet2">
    <w:name w:val="List Bullet 2"/>
    <w:basedOn w:val="Normal"/>
    <w:uiPriority w:val="99"/>
    <w:semiHidden/>
    <w:unhideWhenUsed/>
    <w:rsid w:val="0096075F"/>
    <w:pPr>
      <w:numPr>
        <w:numId w:val="3"/>
      </w:numPr>
      <w:contextualSpacing/>
    </w:pPr>
  </w:style>
  <w:style w:type="paragraph" w:styleId="ListBullet3">
    <w:name w:val="List Bullet 3"/>
    <w:basedOn w:val="Normal"/>
    <w:uiPriority w:val="99"/>
    <w:semiHidden/>
    <w:unhideWhenUsed/>
    <w:rsid w:val="0096075F"/>
    <w:pPr>
      <w:numPr>
        <w:numId w:val="4"/>
      </w:numPr>
      <w:contextualSpacing/>
    </w:pPr>
  </w:style>
  <w:style w:type="paragraph" w:styleId="ListBullet4">
    <w:name w:val="List Bullet 4"/>
    <w:basedOn w:val="Normal"/>
    <w:uiPriority w:val="99"/>
    <w:semiHidden/>
    <w:unhideWhenUsed/>
    <w:rsid w:val="0096075F"/>
    <w:pPr>
      <w:numPr>
        <w:numId w:val="5"/>
      </w:numPr>
      <w:contextualSpacing/>
    </w:pPr>
  </w:style>
  <w:style w:type="paragraph" w:styleId="BalloonText">
    <w:name w:val="Balloon Text"/>
    <w:basedOn w:val="Normal"/>
    <w:link w:val="BalloonTextChar"/>
    <w:uiPriority w:val="99"/>
    <w:semiHidden/>
    <w:unhideWhenUsed/>
    <w:rsid w:val="00AD47C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7C8"/>
    <w:rPr>
      <w:rFonts w:ascii="Segoe UI" w:hAnsi="Segoe UI" w:cs="Segoe UI"/>
      <w:sz w:val="18"/>
      <w:szCs w:val="18"/>
      <w:lang w:val="en-GB"/>
    </w:rPr>
  </w:style>
  <w:style w:type="paragraph" w:styleId="ListParagraph">
    <w:name w:val="List Paragraph"/>
    <w:basedOn w:val="Normal"/>
    <w:uiPriority w:val="34"/>
    <w:qFormat/>
    <w:rsid w:val="00BF7C15"/>
    <w:pPr>
      <w:ind w:left="720"/>
      <w:contextualSpacing/>
    </w:pPr>
  </w:style>
  <w:style w:type="character" w:customStyle="1" w:styleId="oj-italic">
    <w:name w:val="oj-italic"/>
    <w:basedOn w:val="DefaultParagraphFont"/>
    <w:rsid w:val="00476BE3"/>
  </w:style>
  <w:style w:type="paragraph" w:styleId="ListNumber">
    <w:name w:val="List Number"/>
    <w:basedOn w:val="Normal"/>
    <w:uiPriority w:val="99"/>
    <w:semiHidden/>
    <w:unhideWhenUsed/>
    <w:rsid w:val="00F33C42"/>
    <w:pPr>
      <w:numPr>
        <w:numId w:val="6"/>
      </w:numPr>
      <w:contextualSpacing/>
    </w:pPr>
  </w:style>
  <w:style w:type="character" w:styleId="CommentReference">
    <w:name w:val="annotation reference"/>
    <w:basedOn w:val="DefaultParagraphFont"/>
    <w:uiPriority w:val="99"/>
    <w:semiHidden/>
    <w:unhideWhenUsed/>
    <w:rsid w:val="00A2395A"/>
    <w:rPr>
      <w:sz w:val="16"/>
      <w:szCs w:val="16"/>
    </w:rPr>
  </w:style>
  <w:style w:type="paragraph" w:styleId="CommentText">
    <w:name w:val="annotation text"/>
    <w:basedOn w:val="Normal"/>
    <w:link w:val="CommentTextChar"/>
    <w:uiPriority w:val="99"/>
    <w:semiHidden/>
    <w:unhideWhenUsed/>
    <w:rsid w:val="00A2395A"/>
    <w:rPr>
      <w:sz w:val="20"/>
      <w:szCs w:val="20"/>
    </w:rPr>
  </w:style>
  <w:style w:type="character" w:customStyle="1" w:styleId="CommentTextChar">
    <w:name w:val="Comment Text Char"/>
    <w:basedOn w:val="DefaultParagraphFont"/>
    <w:link w:val="CommentText"/>
    <w:uiPriority w:val="99"/>
    <w:semiHidden/>
    <w:rsid w:val="00A2395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2395A"/>
    <w:rPr>
      <w:b/>
      <w:bCs/>
    </w:rPr>
  </w:style>
  <w:style w:type="character" w:customStyle="1" w:styleId="CommentSubjectChar">
    <w:name w:val="Comment Subject Char"/>
    <w:basedOn w:val="CommentTextChar"/>
    <w:link w:val="CommentSubject"/>
    <w:uiPriority w:val="99"/>
    <w:semiHidden/>
    <w:rsid w:val="00A2395A"/>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rsid w:val="001F26F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1F26F3"/>
    <w:pPr>
      <w:spacing w:after="0"/>
    </w:pPr>
  </w:style>
  <w:style w:type="paragraph" w:styleId="ListNumber2">
    <w:name w:val="List Number 2"/>
    <w:basedOn w:val="Normal"/>
    <w:uiPriority w:val="99"/>
    <w:semiHidden/>
    <w:unhideWhenUsed/>
    <w:rsid w:val="001F26F3"/>
    <w:pPr>
      <w:numPr>
        <w:numId w:val="8"/>
      </w:numPr>
      <w:contextualSpacing/>
    </w:pPr>
  </w:style>
  <w:style w:type="paragraph" w:styleId="ListNumber4">
    <w:name w:val="List Number 4"/>
    <w:basedOn w:val="Normal"/>
    <w:uiPriority w:val="99"/>
    <w:semiHidden/>
    <w:unhideWhenUsed/>
    <w:rsid w:val="001F26F3"/>
    <w:pPr>
      <w:numPr>
        <w:numId w:val="9"/>
      </w:numPr>
      <w:contextualSpacing/>
    </w:pPr>
  </w:style>
  <w:style w:type="character" w:styleId="Hyperlink">
    <w:name w:val="Hyperlink"/>
    <w:basedOn w:val="DefaultParagraphFont"/>
    <w:uiPriority w:val="99"/>
    <w:unhideWhenUsed/>
    <w:rsid w:val="00F60581"/>
    <w:rPr>
      <w:color w:val="0000FF" w:themeColor="hyperlink"/>
      <w:u w:val="single"/>
    </w:rPr>
  </w:style>
  <w:style w:type="character" w:styleId="FollowedHyperlink">
    <w:name w:val="FollowedHyperlink"/>
    <w:basedOn w:val="DefaultParagraphFont"/>
    <w:uiPriority w:val="99"/>
    <w:semiHidden/>
    <w:unhideWhenUsed/>
    <w:rsid w:val="0096044A"/>
    <w:rPr>
      <w:color w:val="800080" w:themeColor="followedHyperlink"/>
      <w:u w:val="single"/>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1"/>
      </w:numPr>
    </w:pPr>
  </w:style>
  <w:style w:type="paragraph" w:customStyle="1" w:styleId="Tiret1">
    <w:name w:val="Tiret 1"/>
    <w:basedOn w:val="Point1"/>
    <w:rsid w:val="009B7138"/>
    <w:pPr>
      <w:numPr>
        <w:numId w:val="12"/>
      </w:numPr>
    </w:pPr>
  </w:style>
  <w:style w:type="paragraph" w:customStyle="1" w:styleId="Tiret2">
    <w:name w:val="Tiret 2"/>
    <w:basedOn w:val="Point2"/>
    <w:rsid w:val="009B7138"/>
    <w:pPr>
      <w:numPr>
        <w:numId w:val="13"/>
      </w:numPr>
    </w:pPr>
  </w:style>
  <w:style w:type="paragraph" w:customStyle="1" w:styleId="Tiret3">
    <w:name w:val="Tiret 3"/>
    <w:basedOn w:val="Point3"/>
    <w:rsid w:val="009B7138"/>
    <w:pPr>
      <w:numPr>
        <w:numId w:val="14"/>
      </w:numPr>
    </w:pPr>
  </w:style>
  <w:style w:type="paragraph" w:customStyle="1" w:styleId="Tiret4">
    <w:name w:val="Tiret 4"/>
    <w:basedOn w:val="Point4"/>
    <w:rsid w:val="009B7138"/>
    <w:pPr>
      <w:numPr>
        <w:numId w:val="15"/>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6"/>
      </w:numPr>
    </w:pPr>
  </w:style>
  <w:style w:type="paragraph" w:customStyle="1" w:styleId="NumPar2">
    <w:name w:val="NumPar 2"/>
    <w:basedOn w:val="Normal"/>
    <w:next w:val="Text1"/>
    <w:rsid w:val="009B7138"/>
    <w:pPr>
      <w:numPr>
        <w:ilvl w:val="1"/>
        <w:numId w:val="16"/>
      </w:numPr>
    </w:pPr>
  </w:style>
  <w:style w:type="paragraph" w:customStyle="1" w:styleId="NumPar3">
    <w:name w:val="NumPar 3"/>
    <w:basedOn w:val="Normal"/>
    <w:next w:val="Text1"/>
    <w:rsid w:val="009B7138"/>
    <w:pPr>
      <w:numPr>
        <w:ilvl w:val="2"/>
        <w:numId w:val="16"/>
      </w:numPr>
    </w:pPr>
  </w:style>
  <w:style w:type="paragraph" w:customStyle="1" w:styleId="NumPar4">
    <w:name w:val="NumPar 4"/>
    <w:basedOn w:val="Normal"/>
    <w:next w:val="Text1"/>
    <w:rsid w:val="009B7138"/>
    <w:pPr>
      <w:numPr>
        <w:ilvl w:val="3"/>
        <w:numId w:val="16"/>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8"/>
      </w:numPr>
    </w:pPr>
  </w:style>
  <w:style w:type="paragraph" w:customStyle="1" w:styleId="Point1number">
    <w:name w:val="Point 1 (number)"/>
    <w:basedOn w:val="Normal"/>
    <w:rsid w:val="009B7138"/>
    <w:pPr>
      <w:numPr>
        <w:ilvl w:val="2"/>
        <w:numId w:val="18"/>
      </w:numPr>
    </w:pPr>
  </w:style>
  <w:style w:type="paragraph" w:customStyle="1" w:styleId="Point2number">
    <w:name w:val="Point 2 (number)"/>
    <w:basedOn w:val="Normal"/>
    <w:rsid w:val="009B7138"/>
    <w:pPr>
      <w:numPr>
        <w:ilvl w:val="4"/>
        <w:numId w:val="18"/>
      </w:numPr>
    </w:pPr>
  </w:style>
  <w:style w:type="paragraph" w:customStyle="1" w:styleId="Point3number">
    <w:name w:val="Point 3 (number)"/>
    <w:basedOn w:val="Normal"/>
    <w:rsid w:val="009B7138"/>
    <w:pPr>
      <w:numPr>
        <w:ilvl w:val="6"/>
        <w:numId w:val="18"/>
      </w:numPr>
    </w:pPr>
  </w:style>
  <w:style w:type="paragraph" w:customStyle="1" w:styleId="Point0letter">
    <w:name w:val="Point 0 (letter)"/>
    <w:basedOn w:val="Normal"/>
    <w:rsid w:val="009B7138"/>
    <w:pPr>
      <w:numPr>
        <w:ilvl w:val="1"/>
        <w:numId w:val="18"/>
      </w:numPr>
    </w:pPr>
  </w:style>
  <w:style w:type="paragraph" w:customStyle="1" w:styleId="Point1letter">
    <w:name w:val="Point 1 (letter)"/>
    <w:basedOn w:val="Normal"/>
    <w:rsid w:val="009B7138"/>
    <w:pPr>
      <w:numPr>
        <w:ilvl w:val="3"/>
        <w:numId w:val="18"/>
      </w:numPr>
    </w:pPr>
  </w:style>
  <w:style w:type="paragraph" w:customStyle="1" w:styleId="Point2letter">
    <w:name w:val="Point 2 (letter)"/>
    <w:basedOn w:val="Normal"/>
    <w:rsid w:val="009B7138"/>
    <w:pPr>
      <w:numPr>
        <w:ilvl w:val="5"/>
        <w:numId w:val="18"/>
      </w:numPr>
    </w:pPr>
  </w:style>
  <w:style w:type="paragraph" w:customStyle="1" w:styleId="Point3letter">
    <w:name w:val="Point 3 (letter)"/>
    <w:basedOn w:val="Normal"/>
    <w:rsid w:val="009B7138"/>
    <w:pPr>
      <w:numPr>
        <w:ilvl w:val="7"/>
        <w:numId w:val="18"/>
      </w:numPr>
    </w:pPr>
  </w:style>
  <w:style w:type="paragraph" w:customStyle="1" w:styleId="Point4letter">
    <w:name w:val="Point 4 (letter)"/>
    <w:basedOn w:val="Normal"/>
    <w:rsid w:val="009B7138"/>
    <w:pPr>
      <w:numPr>
        <w:ilvl w:val="8"/>
        <w:numId w:val="18"/>
      </w:numPr>
    </w:pPr>
  </w:style>
  <w:style w:type="paragraph" w:customStyle="1" w:styleId="Bullet0">
    <w:name w:val="Bullet 0"/>
    <w:basedOn w:val="Normal"/>
    <w:rsid w:val="009B7138"/>
    <w:pPr>
      <w:numPr>
        <w:numId w:val="19"/>
      </w:numPr>
    </w:pPr>
  </w:style>
  <w:style w:type="paragraph" w:customStyle="1" w:styleId="Bullet1">
    <w:name w:val="Bullet 1"/>
    <w:basedOn w:val="Normal"/>
    <w:rsid w:val="009B7138"/>
    <w:pPr>
      <w:numPr>
        <w:numId w:val="20"/>
      </w:numPr>
    </w:pPr>
  </w:style>
  <w:style w:type="paragraph" w:customStyle="1" w:styleId="Bullet2">
    <w:name w:val="Bullet 2"/>
    <w:basedOn w:val="Normal"/>
    <w:rsid w:val="009B7138"/>
    <w:pPr>
      <w:numPr>
        <w:numId w:val="21"/>
      </w:numPr>
    </w:pPr>
  </w:style>
  <w:style w:type="paragraph" w:customStyle="1" w:styleId="Bullet3">
    <w:name w:val="Bullet 3"/>
    <w:basedOn w:val="Normal"/>
    <w:rsid w:val="009B7138"/>
    <w:pPr>
      <w:numPr>
        <w:numId w:val="22"/>
      </w:numPr>
    </w:pPr>
  </w:style>
  <w:style w:type="paragraph" w:customStyle="1" w:styleId="Bullet4">
    <w:name w:val="Bullet 4"/>
    <w:basedOn w:val="Normal"/>
    <w:rsid w:val="009B7138"/>
    <w:pPr>
      <w:numPr>
        <w:numId w:val="23"/>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4"/>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regde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CA9775E-9C36-452C-8D5D-C6A97B9D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Pages>
  <Words>721</Words>
  <Characters>4877</Characters>
  <Application>Microsoft Office Word</Application>
  <DocSecurity>0</DocSecurity>
  <Lines>90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Katleen (GROW)</dc:creator>
  <cp:keywords/>
  <dc:description/>
  <cp:lastModifiedBy>HENDRIX Katleen (GROW)</cp:lastModifiedBy>
  <cp:revision>3</cp:revision>
  <dcterms:created xsi:type="dcterms:W3CDTF">2021-04-19T15:19:00Z</dcterms:created>
  <dcterms:modified xsi:type="dcterms:W3CDTF">2021-04-19T15:19:00Z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SJ-001</vt:lpwstr>
  </property>
  <property fmtid="{D5CDD505-2E9C-101B-9397-08002B2CF9AE}" pid="10" name="DQCStatus">
    <vt:lpwstr>Green (DQC version 03)</vt:lpwstr>
  </property>
</Properties>
</file>