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6630" w14:textId="77777777" w:rsidR="006768E6" w:rsidRPr="000052F7" w:rsidRDefault="001F2D2C" w:rsidP="009C16CC">
      <w:pPr>
        <w:pStyle w:val="Titel"/>
        <w:spacing w:after="0"/>
        <w:jc w:val="left"/>
      </w:pPr>
      <w:r w:rsidRPr="000052F7">
        <w:rPr>
          <w:noProof/>
          <w:szCs w:val="32"/>
          <w:lang w:eastAsia="de-AT"/>
        </w:rPr>
        <w:drawing>
          <wp:anchor distT="0" distB="0" distL="114300" distR="114300" simplePos="0" relativeHeight="251659264" behindDoc="1" locked="0" layoutInCell="1" allowOverlap="1" wp14:anchorId="1F762986" wp14:editId="1323B480">
            <wp:simplePos x="0" y="0"/>
            <wp:positionH relativeFrom="page">
              <wp:align>left</wp:align>
            </wp:positionH>
            <wp:positionV relativeFrom="paragraph">
              <wp:posOffset>-1243965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6768E6" w:rsidRPr="000052F7">
        <w:rPr>
          <w:szCs w:val="32"/>
        </w:rPr>
        <w:t xml:space="preserve">Checkliste - </w:t>
      </w:r>
      <w:r w:rsidR="00B8684B" w:rsidRPr="000052F7">
        <w:t>Grundmuster eines Gesellschaftsvertrages einer atypischen stillen Gesellschaft</w:t>
      </w:r>
    </w:p>
    <w:p w14:paraId="03B61C85" w14:textId="77777777" w:rsidR="001F2D2C" w:rsidRDefault="001F2D2C"/>
    <w:p w14:paraId="123AA2A7" w14:textId="77777777" w:rsidR="00AE434C" w:rsidRDefault="00AE434C"/>
    <w:p w14:paraId="7C70BCEE" w14:textId="77777777" w:rsidR="00296E0D" w:rsidRDefault="00296E0D"/>
    <w:p w14:paraId="0C0CF385" w14:textId="77777777" w:rsidR="00296E0D" w:rsidRDefault="00296E0D"/>
    <w:p w14:paraId="67E6EEEF" w14:textId="77777777" w:rsidR="00296E0D" w:rsidRDefault="00296E0D"/>
    <w:p w14:paraId="21693AD1" w14:textId="77777777" w:rsidR="001F2D2C" w:rsidRDefault="001F2D2C"/>
    <w:p w14:paraId="5D021E4B"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35511031"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Pr>
          <w:rFonts w:cs="Arial"/>
          <w:sz w:val="22"/>
          <w:szCs w:val="22"/>
          <w:lang w:eastAsia="de-AT"/>
        </w:rPr>
        <w:t>Verträge erstellen</w:t>
      </w:r>
      <w:r w:rsidRPr="001F2D2C">
        <w:rPr>
          <w:rFonts w:cs="Arial"/>
          <w:sz w:val="22"/>
          <w:szCs w:val="22"/>
          <w:lang w:eastAsia="de-AT"/>
        </w:rPr>
        <w:t xml:space="preserve"> oder Vertragsmuster in gesetzwidriger Weise abändern, ersuchen wir Sie</w:t>
      </w:r>
      <w:r w:rsidR="00AA69E2" w:rsidRPr="00A03506">
        <w:rPr>
          <w:rFonts w:cs="Arial"/>
          <w:sz w:val="22"/>
          <w:szCs w:val="22"/>
          <w:lang w:eastAsia="de-AT"/>
        </w:rPr>
        <w:t>,</w:t>
      </w:r>
      <w:r w:rsidRPr="001F2D2C">
        <w:rPr>
          <w:rFonts w:cs="Arial"/>
          <w:sz w:val="22"/>
          <w:szCs w:val="22"/>
          <w:lang w:eastAsia="de-AT"/>
        </w:rPr>
        <w:t xml:space="preserve"> folgende Tipps zu beachten: </w:t>
      </w:r>
    </w:p>
    <w:p w14:paraId="01E705B1"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verwendete </w:t>
      </w:r>
      <w:r>
        <w:rPr>
          <w:rFonts w:cs="Arial"/>
          <w:sz w:val="22"/>
          <w:szCs w:val="22"/>
          <w:lang w:eastAsia="de-AT"/>
        </w:rPr>
        <w:t>Checkliste</w:t>
      </w:r>
      <w:r w:rsidRPr="001F2D2C">
        <w:rPr>
          <w:rFonts w:cs="Arial"/>
          <w:sz w:val="22"/>
          <w:szCs w:val="22"/>
          <w:lang w:eastAsia="de-AT"/>
        </w:rPr>
        <w:t xml:space="preserve"> für Ihren Sachverhalt passt!</w:t>
      </w:r>
    </w:p>
    <w:p w14:paraId="16D1FB45"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Pr>
          <w:rFonts w:cs="Arial"/>
          <w:sz w:val="22"/>
          <w:szCs w:val="22"/>
          <w:lang w:eastAsia="de-AT"/>
        </w:rPr>
        <w:t>Die konkrete Formulierung einzelner Vertragsbestimmungen hängt von den Umständen des Einzelfalls sowie den Vorstellungen und Wünschen der Gesellschafter ab.</w:t>
      </w:r>
    </w:p>
    <w:p w14:paraId="10A140BE"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Im Falle von Unklarheiten wenden Sie sich bitte unbedingt an Ihre Wirtschaftskammer!</w:t>
      </w:r>
    </w:p>
    <w:p w14:paraId="153D65C2" w14:textId="77777777" w:rsidR="001F2D2C" w:rsidRDefault="001F2D2C"/>
    <w:p w14:paraId="6F7587CF" w14:textId="77777777" w:rsidR="00296E0D" w:rsidRDefault="00296E0D"/>
    <w:p w14:paraId="0AE80338" w14:textId="77777777" w:rsidR="00296E0D" w:rsidRDefault="00296E0D"/>
    <w:p w14:paraId="01D027EE" w14:textId="77777777" w:rsidR="00CA21B4" w:rsidRDefault="00000000"/>
    <w:p w14:paraId="29988BDC" w14:textId="77777777" w:rsidR="001F2D2C" w:rsidRDefault="001F2D2C"/>
    <w:p w14:paraId="5C3A4BD1" w14:textId="77777777" w:rsidR="001F2D2C" w:rsidRDefault="001F2D2C"/>
    <w:p w14:paraId="437B7A0D" w14:textId="77777777" w:rsidR="001F2D2C" w:rsidRDefault="001F2D2C"/>
    <w:p w14:paraId="7306187D" w14:textId="57AAA9D4" w:rsidR="001F2D2C" w:rsidRPr="008E0303" w:rsidRDefault="001F2D2C" w:rsidP="001F2D2C">
      <w:pPr>
        <w:shd w:val="clear" w:color="auto" w:fill="FFFFFF"/>
        <w:jc w:val="right"/>
        <w:rPr>
          <w:sz w:val="22"/>
          <w:szCs w:val="22"/>
          <w:lang w:eastAsia="de-AT"/>
        </w:rPr>
      </w:pPr>
      <w:r w:rsidRPr="008E0303">
        <w:rPr>
          <w:sz w:val="22"/>
          <w:szCs w:val="22"/>
          <w:lang w:eastAsia="de-AT"/>
        </w:rPr>
        <w:t xml:space="preserve">Stand: </w:t>
      </w:r>
      <w:r w:rsidR="00AE434C">
        <w:rPr>
          <w:sz w:val="22"/>
          <w:szCs w:val="22"/>
          <w:lang w:eastAsia="de-AT"/>
        </w:rPr>
        <w:t>Juli</w:t>
      </w:r>
      <w:r w:rsidR="007F1197">
        <w:rPr>
          <w:sz w:val="22"/>
          <w:szCs w:val="22"/>
          <w:lang w:eastAsia="de-AT"/>
        </w:rPr>
        <w:t xml:space="preserve"> 202</w:t>
      </w:r>
      <w:r w:rsidR="00AE434C">
        <w:rPr>
          <w:sz w:val="22"/>
          <w:szCs w:val="22"/>
          <w:lang w:eastAsia="de-AT"/>
        </w:rPr>
        <w:t>3</w:t>
      </w:r>
    </w:p>
    <w:p w14:paraId="635B5ADE"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Dies</w:t>
      </w:r>
      <w:r w:rsidR="009C16CC">
        <w:t xml:space="preserve"> </w:t>
      </w:r>
      <w:r w:rsidRPr="001D55A8">
        <w:t xml:space="preserve">ist ein </w:t>
      </w:r>
      <w:r w:rsidRPr="001D55A8">
        <w:rPr>
          <w:b/>
        </w:rPr>
        <w:t>Produkt der Zusammenarbeit aller Wirtschaftskammern</w:t>
      </w:r>
      <w:r>
        <w:rPr>
          <w:b/>
        </w:rPr>
        <w:t xml:space="preserve"> Österreichs</w:t>
      </w:r>
      <w:r w:rsidRPr="001D55A8">
        <w:t xml:space="preserve">. </w:t>
      </w:r>
    </w:p>
    <w:p w14:paraId="42B9D3DC"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6E017743"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49492519"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16210F52"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0052F7">
        <w:t>1010</w:t>
      </w:r>
      <w:r w:rsidR="00F049B6">
        <w:t>.</w:t>
      </w:r>
    </w:p>
    <w:p w14:paraId="3671E6D2" w14:textId="77777777" w:rsidR="00AE434C"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8"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w:t>
      </w:r>
    </w:p>
    <w:p w14:paraId="0D556B19" w14:textId="6C190653"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AE434C">
        <w:t>alle</w:t>
      </w:r>
      <w:r w:rsidRPr="001D55A8">
        <w:t xml:space="preserve"> Geschlechter!</w:t>
      </w:r>
    </w:p>
    <w:p w14:paraId="20FA5B4D" w14:textId="77777777" w:rsidR="001F2D2C" w:rsidRDefault="001F2D2C"/>
    <w:p w14:paraId="3F8D5BCF" w14:textId="77777777" w:rsidR="001F2D2C" w:rsidRDefault="001F2D2C"/>
    <w:p w14:paraId="2D07EEF0" w14:textId="77777777" w:rsidR="001F2D2C" w:rsidRDefault="001F2D2C">
      <w:pPr>
        <w:sectPr w:rsidR="001F2D2C" w:rsidSect="000052F7">
          <w:pgSz w:w="11906" w:h="16838"/>
          <w:pgMar w:top="1985" w:right="1418" w:bottom="1134" w:left="1701" w:header="708" w:footer="708" w:gutter="0"/>
          <w:cols w:space="708"/>
          <w:docGrid w:linePitch="360"/>
        </w:sectPr>
      </w:pPr>
    </w:p>
    <w:p w14:paraId="246645C1" w14:textId="77777777" w:rsidR="00B8684B" w:rsidRPr="00D416D2" w:rsidRDefault="00B8684B" w:rsidP="00B8684B">
      <w:pPr>
        <w:pStyle w:val="Lauftext"/>
        <w:rPr>
          <w:szCs w:val="22"/>
        </w:rPr>
      </w:pPr>
      <w:r w:rsidRPr="00D416D2">
        <w:rPr>
          <w:szCs w:val="22"/>
        </w:rPr>
        <w:lastRenderedPageBreak/>
        <w:t xml:space="preserve">Für die Form eines Gesellschaftsvertrages einer </w:t>
      </w:r>
      <w:r>
        <w:rPr>
          <w:szCs w:val="22"/>
        </w:rPr>
        <w:t xml:space="preserve">stillen Gesellschaft </w:t>
      </w:r>
      <w:r w:rsidRPr="00D416D2">
        <w:rPr>
          <w:szCs w:val="22"/>
        </w:rPr>
        <w:t>gibt es keine bestimmten Vorschriften. Um jedoch später unliebsame Überraschungen oder sogar Rechtsstreitigkeiten zu vermeiden, empfiehlt sich dringend die Abfassung eines schriftlichen Vertrages, in dem die nachstehenden Punkte geregelt sein sollten.</w:t>
      </w:r>
    </w:p>
    <w:p w14:paraId="028ECB6B" w14:textId="77777777" w:rsidR="00B8684B" w:rsidRPr="00D416D2" w:rsidRDefault="00B8684B" w:rsidP="00B8684B">
      <w:pPr>
        <w:pStyle w:val="Lauftext"/>
        <w:spacing w:after="240"/>
        <w:rPr>
          <w:szCs w:val="22"/>
        </w:rPr>
      </w:pPr>
      <w:r w:rsidRPr="00D416D2">
        <w:rPr>
          <w:szCs w:val="22"/>
        </w:rPr>
        <w:t xml:space="preserve">Die konkrete Formulierung einzelner Vertragsbestimmungen hängt selbstverständlich von den Umständen des Einzelfalles und den Vorstellungen und Wünschen der Gesellschafter ab. </w:t>
      </w:r>
    </w:p>
    <w:p w14:paraId="3B1E743B" w14:textId="77777777" w:rsidR="00B8684B" w:rsidRPr="00D416D2" w:rsidRDefault="00B8684B" w:rsidP="00B8684B">
      <w:pPr>
        <w:pStyle w:val="Lauftext"/>
        <w:numPr>
          <w:ilvl w:val="0"/>
          <w:numId w:val="5"/>
        </w:numPr>
        <w:spacing w:after="240"/>
        <w:rPr>
          <w:szCs w:val="22"/>
        </w:rPr>
      </w:pPr>
      <w:r>
        <w:rPr>
          <w:b/>
          <w:bCs/>
          <w:szCs w:val="22"/>
        </w:rPr>
        <w:t>Vertragsparteien</w:t>
      </w:r>
      <w:r w:rsidRPr="00D416D2">
        <w:rPr>
          <w:b/>
          <w:bCs/>
          <w:szCs w:val="22"/>
        </w:rPr>
        <w:t>:</w:t>
      </w:r>
      <w:r w:rsidRPr="00D416D2">
        <w:rPr>
          <w:szCs w:val="22"/>
        </w:rPr>
        <w:t xml:space="preserve"> Vor- und Familienname, Geburtsdatum, </w:t>
      </w:r>
      <w:r>
        <w:rPr>
          <w:szCs w:val="22"/>
        </w:rPr>
        <w:t xml:space="preserve">bzw. Firma, Firmenbuchnummer, </w:t>
      </w:r>
      <w:r w:rsidRPr="00D416D2">
        <w:rPr>
          <w:szCs w:val="22"/>
        </w:rPr>
        <w:t>Adresse</w:t>
      </w:r>
      <w:r>
        <w:rPr>
          <w:szCs w:val="22"/>
        </w:rPr>
        <w:t>.</w:t>
      </w:r>
    </w:p>
    <w:p w14:paraId="1A5DC34B" w14:textId="77777777" w:rsidR="00B8684B" w:rsidRDefault="00B8684B" w:rsidP="00B8684B">
      <w:pPr>
        <w:pStyle w:val="Lauftext"/>
        <w:numPr>
          <w:ilvl w:val="0"/>
          <w:numId w:val="5"/>
        </w:numPr>
        <w:spacing w:after="240"/>
        <w:rPr>
          <w:szCs w:val="22"/>
        </w:rPr>
      </w:pPr>
      <w:r>
        <w:rPr>
          <w:b/>
          <w:bCs/>
          <w:szCs w:val="22"/>
        </w:rPr>
        <w:t>Unternehmen</w:t>
      </w:r>
      <w:r w:rsidRPr="00D416D2">
        <w:rPr>
          <w:b/>
          <w:bCs/>
          <w:szCs w:val="22"/>
        </w:rPr>
        <w:t>:</w:t>
      </w:r>
      <w:r w:rsidRPr="00D416D2">
        <w:rPr>
          <w:szCs w:val="22"/>
        </w:rPr>
        <w:t xml:space="preserve"> In diesem Punkt </w:t>
      </w:r>
      <w:r>
        <w:rPr>
          <w:szCs w:val="22"/>
        </w:rPr>
        <w:t>ist das Unternehmen zu beschreiben, an dem der stille Gesellschafter beteiligt wird.</w:t>
      </w:r>
    </w:p>
    <w:p w14:paraId="1A19E625" w14:textId="77777777" w:rsidR="00B8684B" w:rsidRDefault="00B8684B" w:rsidP="00B8684B">
      <w:pPr>
        <w:pStyle w:val="Lauftext"/>
        <w:numPr>
          <w:ilvl w:val="0"/>
          <w:numId w:val="5"/>
        </w:numPr>
        <w:spacing w:after="240"/>
        <w:rPr>
          <w:szCs w:val="22"/>
        </w:rPr>
      </w:pPr>
      <w:r w:rsidRPr="00D416D2">
        <w:rPr>
          <w:b/>
          <w:bCs/>
          <w:szCs w:val="22"/>
        </w:rPr>
        <w:t xml:space="preserve">Festlegung der </w:t>
      </w:r>
      <w:r>
        <w:rPr>
          <w:b/>
          <w:bCs/>
          <w:szCs w:val="22"/>
        </w:rPr>
        <w:t>vom stillen</w:t>
      </w:r>
      <w:r w:rsidRPr="00D416D2">
        <w:rPr>
          <w:b/>
          <w:bCs/>
          <w:szCs w:val="22"/>
        </w:rPr>
        <w:t xml:space="preserve"> Gesellschafter zu leistenden Einlage:</w:t>
      </w:r>
      <w:r w:rsidRPr="00D416D2">
        <w:rPr>
          <w:szCs w:val="22"/>
        </w:rPr>
        <w:t xml:space="preserve"> Diese </w:t>
      </w:r>
      <w:r>
        <w:rPr>
          <w:szCs w:val="22"/>
        </w:rPr>
        <w:t xml:space="preserve">Einlage ist in der Regel eine Bareinlage. Es sind auch </w:t>
      </w:r>
      <w:r w:rsidRPr="00D416D2">
        <w:rPr>
          <w:szCs w:val="22"/>
        </w:rPr>
        <w:t xml:space="preserve">Sacheinlagen bzw. die Einbringung der Arbeitskraft </w:t>
      </w:r>
      <w:r>
        <w:rPr>
          <w:szCs w:val="22"/>
        </w:rPr>
        <w:t>zulässig</w:t>
      </w:r>
      <w:r w:rsidRPr="00D416D2">
        <w:rPr>
          <w:szCs w:val="22"/>
        </w:rPr>
        <w:t>.</w:t>
      </w:r>
    </w:p>
    <w:p w14:paraId="6E9EE15F" w14:textId="77777777" w:rsidR="00B8684B" w:rsidRPr="00D416D2" w:rsidRDefault="00B8684B" w:rsidP="00B8684B">
      <w:pPr>
        <w:pStyle w:val="Lauftext"/>
        <w:numPr>
          <w:ilvl w:val="0"/>
          <w:numId w:val="5"/>
        </w:numPr>
        <w:spacing w:after="240"/>
        <w:rPr>
          <w:szCs w:val="22"/>
        </w:rPr>
      </w:pPr>
      <w:r>
        <w:rPr>
          <w:b/>
          <w:bCs/>
          <w:szCs w:val="22"/>
        </w:rPr>
        <w:t>Geschäftsjahr, Gewinn-</w:t>
      </w:r>
      <w:r>
        <w:rPr>
          <w:szCs w:val="22"/>
        </w:rPr>
        <w:t xml:space="preserve"> </w:t>
      </w:r>
      <w:r w:rsidRPr="00FC2A7F">
        <w:rPr>
          <w:b/>
          <w:szCs w:val="22"/>
        </w:rPr>
        <w:t>und Verlustverteilung:</w:t>
      </w:r>
      <w:r w:rsidRPr="00FC2A7F">
        <w:rPr>
          <w:szCs w:val="22"/>
        </w:rPr>
        <w:t xml:space="preserve"> </w:t>
      </w:r>
      <w:r w:rsidRPr="00D416D2">
        <w:rPr>
          <w:szCs w:val="22"/>
        </w:rPr>
        <w:t xml:space="preserve">Der Jahresabschluss bildet die Grundlage der Gewinn- bzw. Verlustverteilung. </w:t>
      </w:r>
      <w:r w:rsidRPr="00D416D2">
        <w:rPr>
          <w:szCs w:val="22"/>
          <w:lang w:val="de-AT"/>
        </w:rPr>
        <w:t xml:space="preserve">Mangels einer vertraglichen Vereinbarung regelt </w:t>
      </w:r>
      <w:r w:rsidRPr="003601ED">
        <w:rPr>
          <w:szCs w:val="22"/>
          <w:lang w:val="de-AT"/>
        </w:rPr>
        <w:t xml:space="preserve">das Gesetz die Gewinn- und Verlustverteilung. </w:t>
      </w:r>
      <w:r>
        <w:rPr>
          <w:szCs w:val="22"/>
        </w:rPr>
        <w:t xml:space="preserve"> </w:t>
      </w:r>
    </w:p>
    <w:p w14:paraId="6038E1BC" w14:textId="77777777" w:rsidR="00B8684B" w:rsidRDefault="00B8684B" w:rsidP="00B8684B">
      <w:pPr>
        <w:pStyle w:val="Lauftext"/>
        <w:numPr>
          <w:ilvl w:val="0"/>
          <w:numId w:val="5"/>
        </w:numPr>
        <w:spacing w:after="240"/>
        <w:rPr>
          <w:szCs w:val="22"/>
        </w:rPr>
      </w:pPr>
      <w:r>
        <w:rPr>
          <w:b/>
          <w:bCs/>
          <w:szCs w:val="22"/>
        </w:rPr>
        <w:t>Einsichts- und Informationsrechte</w:t>
      </w:r>
      <w:r w:rsidRPr="00D416D2">
        <w:rPr>
          <w:b/>
          <w:bCs/>
          <w:szCs w:val="22"/>
        </w:rPr>
        <w:t>:</w:t>
      </w:r>
      <w:r w:rsidRPr="00D416D2">
        <w:rPr>
          <w:szCs w:val="22"/>
        </w:rPr>
        <w:t xml:space="preserve"> </w:t>
      </w:r>
      <w:r>
        <w:rPr>
          <w:szCs w:val="22"/>
        </w:rPr>
        <w:t>Dem stillen Gesellschafter stehen zur Sicherung seiner gesellschaftsrechtlichen Ansprüche gewisse Einsichts- und Informationsrechte zu.</w:t>
      </w:r>
    </w:p>
    <w:p w14:paraId="0138DC9E" w14:textId="77777777" w:rsidR="00B8684B" w:rsidRDefault="00B8684B" w:rsidP="00B8684B">
      <w:pPr>
        <w:pStyle w:val="Lauftext"/>
        <w:numPr>
          <w:ilvl w:val="0"/>
          <w:numId w:val="5"/>
        </w:numPr>
        <w:spacing w:after="240"/>
        <w:rPr>
          <w:szCs w:val="22"/>
        </w:rPr>
      </w:pPr>
      <w:r>
        <w:rPr>
          <w:b/>
          <w:bCs/>
          <w:szCs w:val="22"/>
        </w:rPr>
        <w:t>Zustimmungspflichtige Geschäfte:</w:t>
      </w:r>
      <w:r>
        <w:rPr>
          <w:szCs w:val="22"/>
        </w:rPr>
        <w:t xml:space="preserve"> Dem Unternehmensinhaber steht grundsätzlich innerhalb seines Unternehmens ein Organisations- und Handlungsspielraum zu. Er kann daher unternehmerische Entscheidungen nach seinem Ermessen treffen. Um einen gewissen Einfluss des stillen Gesellschafters zu ermöglichen, ist die Vereinbarung zustimmungspflichtiger Geschäfte sinnvoll. Ein Verstoß dagegen führt zu einer Schadenersatzpflicht.</w:t>
      </w:r>
    </w:p>
    <w:p w14:paraId="7D743B6A" w14:textId="77777777" w:rsidR="00B8684B" w:rsidRDefault="00B8684B" w:rsidP="00B8684B">
      <w:pPr>
        <w:pStyle w:val="Lauftext"/>
        <w:numPr>
          <w:ilvl w:val="0"/>
          <w:numId w:val="5"/>
        </w:numPr>
        <w:spacing w:after="240"/>
        <w:rPr>
          <w:szCs w:val="22"/>
        </w:rPr>
      </w:pPr>
      <w:r>
        <w:rPr>
          <w:b/>
          <w:bCs/>
          <w:szCs w:val="22"/>
        </w:rPr>
        <w:t>Auflösung der Gesellschaft:</w:t>
      </w:r>
      <w:r>
        <w:rPr>
          <w:szCs w:val="22"/>
        </w:rPr>
        <w:t xml:space="preserve"> </w:t>
      </w:r>
      <w:r w:rsidRPr="00863318">
        <w:rPr>
          <w:szCs w:val="22"/>
        </w:rPr>
        <w:t>In diesem Punkt können Auflösungsgründe festgelegt werden</w:t>
      </w:r>
      <w:r>
        <w:rPr>
          <w:szCs w:val="22"/>
        </w:rPr>
        <w:t>, die neben den gesetzlich festgelegten gelten sollen.</w:t>
      </w:r>
    </w:p>
    <w:p w14:paraId="6F183D2E" w14:textId="77777777" w:rsidR="00B8684B" w:rsidRPr="00D416D2" w:rsidRDefault="00B8684B" w:rsidP="00B8684B">
      <w:pPr>
        <w:pStyle w:val="Lauftext"/>
        <w:numPr>
          <w:ilvl w:val="0"/>
          <w:numId w:val="5"/>
        </w:numPr>
        <w:spacing w:after="240"/>
        <w:rPr>
          <w:szCs w:val="22"/>
        </w:rPr>
      </w:pPr>
      <w:r>
        <w:rPr>
          <w:b/>
          <w:bCs/>
          <w:szCs w:val="22"/>
        </w:rPr>
        <w:t>Auseinandersetzung:</w:t>
      </w:r>
      <w:r>
        <w:rPr>
          <w:szCs w:val="22"/>
        </w:rPr>
        <w:t xml:space="preserve"> Als ein Merkmal der atypischen stillen Gesellschaft wird die Beteiligung des atypischen stillen Gesellschafters am Unternehmensvermögen angesehen. Entsprechend ist in diesem Punkt zu regeln, wie im Falle der Beendigung der stillen Gesellschaft vorzugehen ist. </w:t>
      </w:r>
    </w:p>
    <w:p w14:paraId="0FEFF3D7" w14:textId="77777777" w:rsidR="00B8684B" w:rsidRDefault="00B8684B" w:rsidP="00B8684B">
      <w:pPr>
        <w:pStyle w:val="Lauftext"/>
        <w:numPr>
          <w:ilvl w:val="0"/>
          <w:numId w:val="5"/>
        </w:numPr>
        <w:spacing w:after="0"/>
        <w:rPr>
          <w:szCs w:val="22"/>
        </w:rPr>
      </w:pPr>
      <w:r w:rsidRPr="00D416D2">
        <w:rPr>
          <w:b/>
          <w:bCs/>
          <w:szCs w:val="22"/>
        </w:rPr>
        <w:t>Allgemeine Vertragsbestimmungen:</w:t>
      </w:r>
      <w:r w:rsidRPr="00D416D2">
        <w:rPr>
          <w:szCs w:val="22"/>
        </w:rPr>
        <w:t xml:space="preserve"> </w:t>
      </w:r>
      <w:r>
        <w:rPr>
          <w:szCs w:val="22"/>
        </w:rPr>
        <w:t xml:space="preserve">Schriftform, </w:t>
      </w:r>
      <w:r w:rsidRPr="00D416D2">
        <w:rPr>
          <w:szCs w:val="22"/>
        </w:rPr>
        <w:t>Gerichtsstandvereinbarung</w:t>
      </w:r>
      <w:r>
        <w:rPr>
          <w:szCs w:val="22"/>
        </w:rPr>
        <w:t>.</w:t>
      </w:r>
    </w:p>
    <w:p w14:paraId="036A48C4" w14:textId="77777777" w:rsidR="001F2D2C" w:rsidRPr="001F2D2C" w:rsidRDefault="001F2D2C" w:rsidP="00B8684B">
      <w:pPr>
        <w:pStyle w:val="Lauftext"/>
        <w:rPr>
          <w:szCs w:val="22"/>
        </w:rPr>
      </w:pPr>
    </w:p>
    <w:sectPr w:rsidR="001F2D2C" w:rsidRPr="001F2D2C" w:rsidSect="00FB5CED">
      <w:headerReference w:type="default" r:id="rId9"/>
      <w:footerReference w:type="default" r:id="rId10"/>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9ADE" w14:textId="77777777" w:rsidR="00DF119A" w:rsidRDefault="00DF119A">
      <w:pPr>
        <w:spacing w:after="0"/>
      </w:pPr>
      <w:r>
        <w:separator/>
      </w:r>
    </w:p>
  </w:endnote>
  <w:endnote w:type="continuationSeparator" w:id="0">
    <w:p w14:paraId="3E2F4D73" w14:textId="77777777" w:rsidR="00DF119A" w:rsidRDefault="00DF11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Courier New"/>
    <w:charset w:val="00"/>
    <w:family w:val="auto"/>
    <w:pitch w:val="variable"/>
    <w:sig w:usb0="00000001" w:usb1="00000000"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C353" w14:textId="77777777" w:rsidR="00EE1F77" w:rsidRPr="005614FD" w:rsidRDefault="00000000" w:rsidP="00561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4965B" w14:textId="77777777" w:rsidR="00DF119A" w:rsidRDefault="00DF119A">
      <w:pPr>
        <w:spacing w:after="0"/>
      </w:pPr>
      <w:r>
        <w:separator/>
      </w:r>
    </w:p>
  </w:footnote>
  <w:footnote w:type="continuationSeparator" w:id="0">
    <w:p w14:paraId="40CDC0E8" w14:textId="77777777" w:rsidR="00DF119A" w:rsidRDefault="00DF11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9F0A" w14:textId="77777777" w:rsidR="00EE1F77"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40F"/>
    <w:multiLevelType w:val="singleLevel"/>
    <w:tmpl w:val="8962D8DE"/>
    <w:lvl w:ilvl="0">
      <w:start w:val="1"/>
      <w:numFmt w:val="decimal"/>
      <w:lvlText w:val="%1."/>
      <w:lvlJc w:val="left"/>
      <w:pPr>
        <w:tabs>
          <w:tab w:val="num" w:pos="360"/>
        </w:tabs>
        <w:ind w:left="360" w:hanging="360"/>
      </w:pPr>
      <w:rPr>
        <w:rFonts w:hint="default"/>
        <w:b/>
      </w:rPr>
    </w:lvl>
  </w:abstractNum>
  <w:abstractNum w:abstractNumId="1" w15:restartNumberingAfterBreak="0">
    <w:nsid w:val="14C618AB"/>
    <w:multiLevelType w:val="hybridMultilevel"/>
    <w:tmpl w:val="A34C02E6"/>
    <w:lvl w:ilvl="0" w:tplc="0407000B">
      <w:start w:val="1"/>
      <w:numFmt w:val="bullet"/>
      <w:lvlText w:val=""/>
      <w:lvlJc w:val="left"/>
      <w:pPr>
        <w:tabs>
          <w:tab w:val="num" w:pos="360"/>
        </w:tabs>
        <w:ind w:left="360" w:hanging="360"/>
      </w:pPr>
      <w:rPr>
        <w:rFonts w:ascii="Wingdings" w:hAnsi="Wingdings" w:hint="default"/>
      </w:rPr>
    </w:lvl>
    <w:lvl w:ilvl="1" w:tplc="C3180352">
      <w:numFmt w:val="bullet"/>
      <w:lvlText w:val=""/>
      <w:lvlJc w:val="left"/>
      <w:pPr>
        <w:tabs>
          <w:tab w:val="num" w:pos="1080"/>
        </w:tabs>
        <w:ind w:left="1080" w:hanging="360"/>
      </w:pPr>
      <w:rPr>
        <w:rFonts w:ascii="Wingdings" w:eastAsia="Times New Roman" w:hAnsi="Wingdings" w:cs="Times New Roman" w:hint="default"/>
      </w:rPr>
    </w:lvl>
    <w:lvl w:ilvl="2" w:tplc="4210B788">
      <w:numFmt w:val="bullet"/>
      <w:lvlText w:val="-"/>
      <w:lvlJc w:val="left"/>
      <w:pPr>
        <w:tabs>
          <w:tab w:val="num" w:pos="1800"/>
        </w:tabs>
        <w:ind w:left="1800" w:hanging="360"/>
      </w:pPr>
      <w:rPr>
        <w:rFonts w:ascii="Optima" w:eastAsia="Times New Roman" w:hAnsi="Optima" w:cs="Times New Roman"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E8413E"/>
    <w:multiLevelType w:val="hybridMultilevel"/>
    <w:tmpl w:val="4F0874C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26280E7C"/>
    <w:multiLevelType w:val="hybridMultilevel"/>
    <w:tmpl w:val="B406BC1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3AC439A4"/>
    <w:multiLevelType w:val="hybridMultilevel"/>
    <w:tmpl w:val="604C9E76"/>
    <w:lvl w:ilvl="0" w:tplc="0407000B">
      <w:start w:val="1"/>
      <w:numFmt w:val="bullet"/>
      <w:lvlText w:val=""/>
      <w:lvlJc w:val="left"/>
      <w:pPr>
        <w:tabs>
          <w:tab w:val="num" w:pos="720"/>
        </w:tabs>
        <w:ind w:left="720" w:hanging="360"/>
      </w:pPr>
      <w:rPr>
        <w:rFonts w:ascii="Wingdings" w:hAnsi="Wingdings" w:hint="default"/>
      </w:rPr>
    </w:lvl>
    <w:lvl w:ilvl="1" w:tplc="C3180352">
      <w:numFmt w:val="bullet"/>
      <w:lvlText w:val=""/>
      <w:lvlJc w:val="left"/>
      <w:pPr>
        <w:tabs>
          <w:tab w:val="num" w:pos="1440"/>
        </w:tabs>
        <w:ind w:left="1440" w:hanging="360"/>
      </w:pPr>
      <w:rPr>
        <w:rFonts w:ascii="Wingdings" w:eastAsia="Times New Roman" w:hAnsi="Wingding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A13F08"/>
    <w:multiLevelType w:val="multilevel"/>
    <w:tmpl w:val="135ABE26"/>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007489">
    <w:abstractNumId w:val="6"/>
  </w:num>
  <w:num w:numId="2" w16cid:durableId="783765555">
    <w:abstractNumId w:val="0"/>
  </w:num>
  <w:num w:numId="3" w16cid:durableId="1069768133">
    <w:abstractNumId w:val="2"/>
  </w:num>
  <w:num w:numId="4" w16cid:durableId="42101414">
    <w:abstractNumId w:val="3"/>
  </w:num>
  <w:num w:numId="5" w16cid:durableId="637999980">
    <w:abstractNumId w:val="5"/>
  </w:num>
  <w:num w:numId="6" w16cid:durableId="228657251">
    <w:abstractNumId w:val="1"/>
  </w:num>
  <w:num w:numId="7" w16cid:durableId="3765111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052F7"/>
    <w:rsid w:val="0009088F"/>
    <w:rsid w:val="00115580"/>
    <w:rsid w:val="0015655F"/>
    <w:rsid w:val="001F2D2C"/>
    <w:rsid w:val="00296E0D"/>
    <w:rsid w:val="002C6991"/>
    <w:rsid w:val="003511BE"/>
    <w:rsid w:val="004D5C57"/>
    <w:rsid w:val="005467D9"/>
    <w:rsid w:val="00553AB1"/>
    <w:rsid w:val="006768E6"/>
    <w:rsid w:val="00690B05"/>
    <w:rsid w:val="00733B9E"/>
    <w:rsid w:val="00767B9B"/>
    <w:rsid w:val="007C075C"/>
    <w:rsid w:val="007F1197"/>
    <w:rsid w:val="0086175B"/>
    <w:rsid w:val="008C289C"/>
    <w:rsid w:val="008E0303"/>
    <w:rsid w:val="00904288"/>
    <w:rsid w:val="00977B58"/>
    <w:rsid w:val="009C16CC"/>
    <w:rsid w:val="00A03506"/>
    <w:rsid w:val="00AA69E2"/>
    <w:rsid w:val="00AE434C"/>
    <w:rsid w:val="00B60906"/>
    <w:rsid w:val="00B8684B"/>
    <w:rsid w:val="00B939A4"/>
    <w:rsid w:val="00C07D9B"/>
    <w:rsid w:val="00C41A80"/>
    <w:rsid w:val="00DF119A"/>
    <w:rsid w:val="00F049B6"/>
    <w:rsid w:val="00F75CB6"/>
    <w:rsid w:val="00FB5C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0AEC"/>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nhideWhenUsed/>
    <w:rsid w:val="001F2D2C"/>
    <w:rPr>
      <w:color w:val="0000FF" w:themeColor="hyperlink"/>
      <w:u w:val="single"/>
    </w:rPr>
  </w:style>
  <w:style w:type="paragraph" w:styleId="Fuzeile">
    <w:name w:val="footer"/>
    <w:basedOn w:val="Standard"/>
    <w:link w:val="FuzeileZchn"/>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paragraph" w:customStyle="1" w:styleId="Zwischenberschrift">
    <w:name w:val="Zwischenüberschrift"/>
    <w:basedOn w:val="Standard"/>
    <w:rsid w:val="00FB5CED"/>
    <w:pPr>
      <w:jc w:val="left"/>
    </w:pPr>
    <w:rPr>
      <w:rFonts w:cs="Times New Roman"/>
      <w:b/>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o.a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Pucher-Pacher Martin | WKO Inhouse</cp:lastModifiedBy>
  <cp:revision>2</cp:revision>
  <cp:lastPrinted>2018-06-04T12:01:00Z</cp:lastPrinted>
  <dcterms:created xsi:type="dcterms:W3CDTF">2023-07-19T08:57:00Z</dcterms:created>
  <dcterms:modified xsi:type="dcterms:W3CDTF">2023-07-19T08:57:00Z</dcterms:modified>
</cp:coreProperties>
</file>